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4F" w:rsidRDefault="00A3664F">
      <w:pPr>
        <w:spacing w:before="21"/>
        <w:ind w:left="100"/>
        <w:jc w:val="both"/>
        <w:rPr>
          <w:rFonts w:ascii="Calibri"/>
          <w:b/>
          <w:sz w:val="28"/>
        </w:rPr>
      </w:pPr>
      <w:r>
        <w:rPr>
          <w:rFonts w:ascii="Calibri"/>
          <w:b/>
          <w:noProof/>
          <w:sz w:val="28"/>
          <w:lang w:val="en-CA" w:eastAsia="en-CA"/>
        </w:rPr>
        <w:drawing>
          <wp:inline distT="0" distB="0" distL="0" distR="0">
            <wp:extent cx="3877656" cy="950026"/>
            <wp:effectExtent l="0" t="0" r="8890" b="254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SI.jpg"/>
                    <pic:cNvPicPr/>
                  </pic:nvPicPr>
                  <pic:blipFill>
                    <a:blip r:embed="rId8">
                      <a:extLst>
                        <a:ext uri="{28A0092B-C50C-407E-A947-70E740481C1C}">
                          <a14:useLocalDpi xmlns:a14="http://schemas.microsoft.com/office/drawing/2010/main" val="0"/>
                        </a:ext>
                      </a:extLst>
                    </a:blip>
                    <a:stretch>
                      <a:fillRect/>
                    </a:stretch>
                  </pic:blipFill>
                  <pic:spPr>
                    <a:xfrm>
                      <a:off x="0" y="0"/>
                      <a:ext cx="3879672" cy="950520"/>
                    </a:xfrm>
                    <a:prstGeom prst="rect">
                      <a:avLst/>
                    </a:prstGeom>
                  </pic:spPr>
                </pic:pic>
              </a:graphicData>
            </a:graphic>
          </wp:inline>
        </w:drawing>
      </w:r>
    </w:p>
    <w:p w:rsidR="00A3664F" w:rsidRDefault="00A3664F">
      <w:pPr>
        <w:spacing w:before="21"/>
        <w:ind w:left="100"/>
        <w:jc w:val="both"/>
        <w:rPr>
          <w:rFonts w:ascii="Calibri"/>
          <w:b/>
          <w:sz w:val="28"/>
        </w:rPr>
      </w:pPr>
    </w:p>
    <w:p w:rsidR="007C28B3" w:rsidRPr="00CA10FF" w:rsidRDefault="00EC7079">
      <w:pPr>
        <w:spacing w:before="21"/>
        <w:ind w:left="100"/>
        <w:jc w:val="both"/>
        <w:rPr>
          <w:b/>
          <w:sz w:val="28"/>
        </w:rPr>
      </w:pPr>
      <w:r w:rsidRPr="00CA10FF">
        <w:rPr>
          <w:b/>
          <w:sz w:val="28"/>
        </w:rPr>
        <w:t>Planetary Security</w:t>
      </w:r>
      <w:r w:rsidR="00A3664F" w:rsidRPr="00CA10FF">
        <w:rPr>
          <w:b/>
          <w:sz w:val="28"/>
        </w:rPr>
        <w:t xml:space="preserve"> Initiative</w:t>
      </w:r>
      <w:r w:rsidRPr="00CA10FF">
        <w:rPr>
          <w:b/>
          <w:sz w:val="28"/>
        </w:rPr>
        <w:t xml:space="preserve"> Policy Briefs</w:t>
      </w:r>
    </w:p>
    <w:p w:rsidR="007C28B3" w:rsidRPr="00CA10FF" w:rsidRDefault="00EC7079">
      <w:pPr>
        <w:spacing w:before="142"/>
        <w:ind w:left="100" w:right="113"/>
        <w:jc w:val="both"/>
        <w:rPr>
          <w:sz w:val="18"/>
          <w:szCs w:val="18"/>
        </w:rPr>
      </w:pPr>
      <w:r w:rsidRPr="00CA10FF">
        <w:rPr>
          <w:sz w:val="18"/>
          <w:szCs w:val="18"/>
        </w:rPr>
        <w:t>The Planetary Security Policy Briefs shall be produced following guidelines for the Clingendael Policy Briefs. The Clingendael Institute is a think tank with a strong policy oriented focus. The target audience of its products consists in principle of policy makers (ranging from the executives to MPs and policy advisers within ministries and international organizations, as well as non-governmental organizations), media and practitioners, but its remit is broader. Experience shows that this target audience of the policy papers is best served by short and succinct pieces that help them in their daily work. The characteristics of a policy brief therefore must be to advance a persuasive argument in a concise, clearly organized fashion. It should be clear that the concise format of a policy brief does not allow for a lengthy analysis or review of the literature on a topic.</w:t>
      </w:r>
    </w:p>
    <w:p w:rsidR="007C28B3" w:rsidRPr="00CA10FF" w:rsidRDefault="007C28B3">
      <w:pPr>
        <w:pStyle w:val="Plattetekst"/>
        <w:spacing w:before="10"/>
        <w:rPr>
          <w:sz w:val="21"/>
        </w:rPr>
      </w:pPr>
    </w:p>
    <w:p w:rsidR="007C28B3" w:rsidRPr="00CA10FF" w:rsidRDefault="00EC7079">
      <w:pPr>
        <w:spacing w:before="1"/>
        <w:ind w:left="100"/>
        <w:jc w:val="both"/>
        <w:rPr>
          <w:b/>
        </w:rPr>
      </w:pPr>
      <w:r w:rsidRPr="00CA10FF">
        <w:rPr>
          <w:b/>
        </w:rPr>
        <w:t>Making a Difference: Topic, Focus and Type of Message</w:t>
      </w:r>
    </w:p>
    <w:p w:rsidR="007C28B3" w:rsidRPr="00CA10FF" w:rsidRDefault="00EC7079">
      <w:pPr>
        <w:ind w:left="100" w:right="113"/>
        <w:jc w:val="both"/>
        <w:rPr>
          <w:sz w:val="18"/>
          <w:szCs w:val="18"/>
        </w:rPr>
      </w:pPr>
      <w:r w:rsidRPr="00CA10FF">
        <w:rPr>
          <w:sz w:val="18"/>
          <w:szCs w:val="18"/>
        </w:rPr>
        <w:t xml:space="preserve">In terms of focus and topic, it is important to see where a policy brief can make a difference. Whilst it would appear to be obvious to focus on big events, summits, etcetera, the question should not be whether or not to write about them, but what can be added to what others doubtlessly will write. Hence, the aim should be not to add to the pile of comparable analyses and reports in the press, but to provide a different angle, a special niche, a challenging perspective for the identified target audience. </w:t>
      </w:r>
    </w:p>
    <w:p w:rsidR="007C28B3" w:rsidRPr="00CA10FF" w:rsidRDefault="007C28B3">
      <w:pPr>
        <w:pStyle w:val="Plattetekst"/>
        <w:rPr>
          <w:sz w:val="22"/>
        </w:rPr>
      </w:pPr>
    </w:p>
    <w:p w:rsidR="007C28B3" w:rsidRPr="00CA10FF" w:rsidRDefault="00EC7079" w:rsidP="00CA10FF">
      <w:pPr>
        <w:spacing w:before="1"/>
        <w:ind w:left="100"/>
        <w:jc w:val="both"/>
        <w:rPr>
          <w:b/>
        </w:rPr>
      </w:pPr>
      <w:r w:rsidRPr="00CA10FF">
        <w:rPr>
          <w:b/>
        </w:rPr>
        <w:t>Nature of the message</w:t>
      </w:r>
    </w:p>
    <w:p w:rsidR="007C28B3" w:rsidRPr="00CA10FF" w:rsidRDefault="00EC7079">
      <w:pPr>
        <w:ind w:left="100" w:right="113"/>
        <w:jc w:val="both"/>
        <w:rPr>
          <w:sz w:val="18"/>
          <w:szCs w:val="18"/>
        </w:rPr>
      </w:pPr>
      <w:r w:rsidRPr="00CA10FF">
        <w:rPr>
          <w:b/>
          <w:i/>
          <w:sz w:val="18"/>
          <w:szCs w:val="18"/>
        </w:rPr>
        <w:t xml:space="preserve">A policy brief starts from the notion that a perspective is missing in a specific policy or discussion. There has to be a sellable point. </w:t>
      </w:r>
      <w:r w:rsidRPr="00CA10FF">
        <w:rPr>
          <w:sz w:val="18"/>
          <w:szCs w:val="18"/>
        </w:rPr>
        <w:t xml:space="preserve">Policy briefs are longer and different from op-eds or policy commentary, which usually have a limited lifespan. The concise format of policy briefs allows for more analysis and evidence to build a case yet remains limited compared to more profound  analyses. The lifespan of a policy brief should be longer than that of a policy commentary. A policy brief could, and where possible should, result from (or inform/provide input to) broader research  </w:t>
      </w:r>
      <w:r w:rsidRPr="00CA10FF">
        <w:rPr>
          <w:spacing w:val="38"/>
          <w:sz w:val="18"/>
          <w:szCs w:val="18"/>
        </w:rPr>
        <w:t xml:space="preserve"> </w:t>
      </w:r>
      <w:r w:rsidRPr="00CA10FF">
        <w:rPr>
          <w:sz w:val="18"/>
          <w:szCs w:val="18"/>
        </w:rPr>
        <w:t>–</w:t>
      </w:r>
    </w:p>
    <w:p w:rsidR="007C28B3" w:rsidRPr="00CA10FF" w:rsidRDefault="00EC7079">
      <w:pPr>
        <w:pStyle w:val="Lijstalinea"/>
        <w:numPr>
          <w:ilvl w:val="1"/>
          <w:numId w:val="16"/>
        </w:numPr>
        <w:tabs>
          <w:tab w:val="left" w:pos="422"/>
        </w:tabs>
        <w:ind w:right="113" w:firstLine="0"/>
        <w:jc w:val="both"/>
        <w:rPr>
          <w:sz w:val="18"/>
          <w:szCs w:val="18"/>
        </w:rPr>
      </w:pPr>
      <w:r w:rsidRPr="00CA10FF">
        <w:rPr>
          <w:sz w:val="18"/>
          <w:szCs w:val="18"/>
        </w:rPr>
        <w:t>could be a (first phase in) a spin-off of ongoing research or a final product of a research project. It could also function as a preliminary pilot for later</w:t>
      </w:r>
      <w:r w:rsidRPr="00CA10FF">
        <w:rPr>
          <w:spacing w:val="-17"/>
          <w:sz w:val="18"/>
          <w:szCs w:val="18"/>
        </w:rPr>
        <w:t xml:space="preserve"> </w:t>
      </w:r>
      <w:r w:rsidRPr="00CA10FF">
        <w:rPr>
          <w:sz w:val="18"/>
          <w:szCs w:val="18"/>
        </w:rPr>
        <w:t>research</w:t>
      </w:r>
      <w:r w:rsidR="00A3664F" w:rsidRPr="00CA10FF">
        <w:rPr>
          <w:sz w:val="18"/>
          <w:szCs w:val="18"/>
        </w:rPr>
        <w:t xml:space="preserve"> or be inspired by a workshop or roundtable (but it should not be an event report on who said what!)</w:t>
      </w:r>
      <w:r w:rsidRPr="00CA10FF">
        <w:rPr>
          <w:sz w:val="18"/>
          <w:szCs w:val="18"/>
        </w:rPr>
        <w:t>.</w:t>
      </w:r>
    </w:p>
    <w:p w:rsidR="007C28B3" w:rsidRPr="00CA10FF" w:rsidRDefault="007C28B3">
      <w:pPr>
        <w:pStyle w:val="Plattetekst"/>
        <w:spacing w:before="10"/>
        <w:rPr>
          <w:sz w:val="21"/>
        </w:rPr>
      </w:pPr>
    </w:p>
    <w:p w:rsidR="007C28B3" w:rsidRPr="00CA10FF" w:rsidRDefault="00EC7079">
      <w:pPr>
        <w:ind w:left="100"/>
        <w:jc w:val="both"/>
        <w:rPr>
          <w:b/>
        </w:rPr>
      </w:pPr>
      <w:r w:rsidRPr="00CA10FF">
        <w:rPr>
          <w:b/>
        </w:rPr>
        <w:t>One Format:  Four Pages</w:t>
      </w:r>
    </w:p>
    <w:p w:rsidR="007C28B3" w:rsidRPr="00CA10FF" w:rsidRDefault="00EC7079">
      <w:pPr>
        <w:ind w:left="100" w:right="114"/>
        <w:jc w:val="both"/>
        <w:rPr>
          <w:sz w:val="18"/>
          <w:szCs w:val="18"/>
        </w:rPr>
      </w:pPr>
      <w:r w:rsidRPr="00CA10FF">
        <w:rPr>
          <w:sz w:val="18"/>
          <w:szCs w:val="18"/>
        </w:rPr>
        <w:t>In terms of length, the policy briefs use a 2-column layout that allows for up to 2500 words on 4 pages. In practical terms this implies a length of up to almost 6 pages A4 which is already long for a ‘brief’ and should therefore not be exceeded. The authors have to focus on the message they want to deliver. The layout follows a standardized format (see</w:t>
      </w:r>
      <w:r w:rsidRPr="00CA10FF">
        <w:rPr>
          <w:spacing w:val="-21"/>
          <w:sz w:val="18"/>
          <w:szCs w:val="18"/>
        </w:rPr>
        <w:t xml:space="preserve"> </w:t>
      </w:r>
      <w:r w:rsidRPr="00CA10FF">
        <w:rPr>
          <w:sz w:val="18"/>
          <w:szCs w:val="18"/>
        </w:rPr>
        <w:t>below).</w:t>
      </w:r>
    </w:p>
    <w:p w:rsidR="00A3664F" w:rsidRPr="00CA10FF" w:rsidRDefault="00A3664F">
      <w:pPr>
        <w:ind w:left="100" w:right="114"/>
        <w:jc w:val="both"/>
      </w:pPr>
    </w:p>
    <w:p w:rsidR="00A3664F" w:rsidRPr="00CA10FF" w:rsidRDefault="00A3664F" w:rsidP="00A3664F">
      <w:pPr>
        <w:ind w:left="100"/>
        <w:jc w:val="both"/>
        <w:rPr>
          <w:b/>
        </w:rPr>
      </w:pPr>
      <w:r w:rsidRPr="00CA10FF">
        <w:rPr>
          <w:b/>
        </w:rPr>
        <w:t>Preparing for a Policy Brief</w:t>
      </w:r>
    </w:p>
    <w:p w:rsidR="00A3664F" w:rsidRPr="00CA10FF" w:rsidRDefault="00A3664F" w:rsidP="00A3664F">
      <w:pPr>
        <w:spacing w:before="57"/>
        <w:ind w:left="100"/>
        <w:jc w:val="both"/>
        <w:rPr>
          <w:sz w:val="18"/>
          <w:szCs w:val="18"/>
        </w:rPr>
      </w:pPr>
      <w:r w:rsidRPr="00CA10FF">
        <w:rPr>
          <w:sz w:val="18"/>
          <w:szCs w:val="18"/>
        </w:rPr>
        <w:t>Before starting the process of writing, the following questions should be answered:</w:t>
      </w:r>
    </w:p>
    <w:p w:rsidR="00A3664F" w:rsidRPr="00CA10FF" w:rsidRDefault="00A3664F" w:rsidP="00A3664F">
      <w:pPr>
        <w:pStyle w:val="Lijstalinea"/>
        <w:numPr>
          <w:ilvl w:val="2"/>
          <w:numId w:val="16"/>
        </w:numPr>
        <w:tabs>
          <w:tab w:val="left" w:pos="821"/>
        </w:tabs>
        <w:spacing w:before="60"/>
        <w:rPr>
          <w:sz w:val="18"/>
          <w:szCs w:val="18"/>
        </w:rPr>
      </w:pPr>
      <w:r w:rsidRPr="00CA10FF">
        <w:rPr>
          <w:sz w:val="18"/>
          <w:szCs w:val="18"/>
        </w:rPr>
        <w:t>What is the key challenge, development or event you want to</w:t>
      </w:r>
      <w:r w:rsidRPr="00CA10FF">
        <w:rPr>
          <w:spacing w:val="-12"/>
          <w:sz w:val="18"/>
          <w:szCs w:val="18"/>
        </w:rPr>
        <w:t xml:space="preserve"> </w:t>
      </w:r>
      <w:r w:rsidRPr="00CA10FF">
        <w:rPr>
          <w:sz w:val="18"/>
          <w:szCs w:val="18"/>
        </w:rPr>
        <w:t>address?</w:t>
      </w:r>
    </w:p>
    <w:p w:rsidR="00A3664F" w:rsidRPr="00CA10FF" w:rsidRDefault="00A3664F" w:rsidP="00A3664F">
      <w:pPr>
        <w:pStyle w:val="Lijstalinea"/>
        <w:numPr>
          <w:ilvl w:val="2"/>
          <w:numId w:val="16"/>
        </w:numPr>
        <w:tabs>
          <w:tab w:val="left" w:pos="821"/>
        </w:tabs>
        <w:spacing w:before="60"/>
        <w:rPr>
          <w:sz w:val="18"/>
          <w:szCs w:val="18"/>
        </w:rPr>
      </w:pPr>
      <w:r w:rsidRPr="00CA10FF">
        <w:rPr>
          <w:sz w:val="18"/>
          <w:szCs w:val="18"/>
        </w:rPr>
        <w:t>Who is the target audience and</w:t>
      </w:r>
      <w:r w:rsidRPr="00CA10FF">
        <w:rPr>
          <w:spacing w:val="-6"/>
          <w:sz w:val="18"/>
          <w:szCs w:val="18"/>
        </w:rPr>
        <w:t xml:space="preserve"> </w:t>
      </w:r>
      <w:r w:rsidRPr="00CA10FF">
        <w:rPr>
          <w:sz w:val="18"/>
          <w:szCs w:val="18"/>
        </w:rPr>
        <w:t>why?</w:t>
      </w:r>
    </w:p>
    <w:p w:rsidR="00A3664F" w:rsidRPr="00CA10FF" w:rsidRDefault="00A3664F" w:rsidP="00A3664F">
      <w:pPr>
        <w:pStyle w:val="Lijstalinea"/>
        <w:numPr>
          <w:ilvl w:val="2"/>
          <w:numId w:val="16"/>
        </w:numPr>
        <w:tabs>
          <w:tab w:val="left" w:pos="821"/>
        </w:tabs>
        <w:spacing w:before="60"/>
        <w:rPr>
          <w:sz w:val="18"/>
          <w:szCs w:val="18"/>
        </w:rPr>
      </w:pPr>
      <w:r w:rsidRPr="00CA10FF">
        <w:rPr>
          <w:sz w:val="18"/>
          <w:szCs w:val="18"/>
        </w:rPr>
        <w:t>What are the likely recommendations (i.e. tailor to the</w:t>
      </w:r>
      <w:r w:rsidRPr="00CA10FF">
        <w:rPr>
          <w:spacing w:val="-18"/>
          <w:sz w:val="18"/>
          <w:szCs w:val="18"/>
        </w:rPr>
        <w:t xml:space="preserve"> </w:t>
      </w:r>
      <w:r w:rsidRPr="00CA10FF">
        <w:rPr>
          <w:sz w:val="18"/>
          <w:szCs w:val="18"/>
        </w:rPr>
        <w:t>audience)?</w:t>
      </w:r>
    </w:p>
    <w:p w:rsidR="00A3664F" w:rsidRPr="00CA10FF" w:rsidRDefault="00A3664F">
      <w:pPr>
        <w:ind w:left="100" w:right="114"/>
        <w:jc w:val="both"/>
      </w:pPr>
    </w:p>
    <w:p w:rsidR="00A3664F" w:rsidRPr="00CA10FF" w:rsidRDefault="00A3664F">
      <w:pPr>
        <w:ind w:left="100" w:right="114"/>
        <w:jc w:val="both"/>
        <w:rPr>
          <w:b/>
        </w:rPr>
      </w:pPr>
      <w:r w:rsidRPr="00CA10FF">
        <w:rPr>
          <w:b/>
        </w:rPr>
        <w:t>Structure</w:t>
      </w:r>
    </w:p>
    <w:p w:rsidR="00A3664F" w:rsidRPr="00CA10FF" w:rsidRDefault="00A3664F">
      <w:pPr>
        <w:ind w:left="100" w:right="114"/>
        <w:jc w:val="both"/>
        <w:rPr>
          <w:sz w:val="18"/>
          <w:szCs w:val="18"/>
        </w:rPr>
      </w:pPr>
      <w:r w:rsidRPr="00CA10FF">
        <w:rPr>
          <w:sz w:val="18"/>
          <w:szCs w:val="18"/>
        </w:rPr>
        <w:t xml:space="preserve">A policy brief always has an abstract of about 150 words maximum. It generally concludes with policy recommendations that are carefully phrased. </w:t>
      </w:r>
      <w:r w:rsidR="007B1165">
        <w:rPr>
          <w:sz w:val="18"/>
          <w:szCs w:val="18"/>
        </w:rPr>
        <w:t xml:space="preserve">A key message can already be included in the abstract in such a way that it inform and generates curiosity of readers. The introduction should be appealing and pointing to the policy and political relevance of the topic covered. The title should be short, sharp and might be thought provoking. Throughout a policy brief about 4- 6 sections are </w:t>
      </w:r>
      <w:r w:rsidR="007B1165">
        <w:rPr>
          <w:sz w:val="18"/>
          <w:szCs w:val="18"/>
        </w:rPr>
        <w:lastRenderedPageBreak/>
        <w:t xml:space="preserve">included which contain topical headings that guide the reader through the text. </w:t>
      </w:r>
    </w:p>
    <w:p w:rsidR="007C28B3" w:rsidRPr="00CA10FF" w:rsidRDefault="007C28B3">
      <w:pPr>
        <w:pStyle w:val="Plattetekst"/>
        <w:spacing w:before="1"/>
        <w:rPr>
          <w:sz w:val="22"/>
        </w:rPr>
      </w:pPr>
    </w:p>
    <w:p w:rsidR="007C28B3" w:rsidRPr="00CA10FF" w:rsidRDefault="00EC7079">
      <w:pPr>
        <w:ind w:left="100"/>
        <w:jc w:val="both"/>
        <w:rPr>
          <w:b/>
        </w:rPr>
      </w:pPr>
      <w:r w:rsidRPr="00CA10FF">
        <w:rPr>
          <w:b/>
        </w:rPr>
        <w:t>Procedure and Requirements</w:t>
      </w:r>
    </w:p>
    <w:p w:rsidR="007C28B3" w:rsidRPr="00CA10FF" w:rsidRDefault="00EC7079">
      <w:pPr>
        <w:pStyle w:val="Lijstalinea"/>
        <w:numPr>
          <w:ilvl w:val="0"/>
          <w:numId w:val="15"/>
        </w:numPr>
        <w:tabs>
          <w:tab w:val="left" w:pos="460"/>
          <w:tab w:val="left" w:pos="461"/>
        </w:tabs>
        <w:spacing w:before="67"/>
        <w:ind w:right="113"/>
        <w:rPr>
          <w:sz w:val="18"/>
          <w:szCs w:val="18"/>
        </w:rPr>
      </w:pPr>
      <w:r w:rsidRPr="00CA10FF">
        <w:rPr>
          <w:sz w:val="18"/>
          <w:szCs w:val="18"/>
        </w:rPr>
        <w:t>Feedback and quality control is covered by two peer reviewers from Clingendael and/or externally.</w:t>
      </w:r>
      <w:r w:rsidR="00A3664F" w:rsidRPr="00CA10FF">
        <w:rPr>
          <w:sz w:val="18"/>
          <w:szCs w:val="18"/>
        </w:rPr>
        <w:t xml:space="preserve"> Normally this process lasts for about a month</w:t>
      </w:r>
      <w:r w:rsidR="00CA10FF" w:rsidRPr="00CA10FF">
        <w:rPr>
          <w:sz w:val="18"/>
          <w:szCs w:val="18"/>
        </w:rPr>
        <w:t xml:space="preserve">, so if you want to have your policy brief ready ahead of the Planetary Security Conference or other big event, then please take this into account. </w:t>
      </w:r>
    </w:p>
    <w:p w:rsidR="00CA10FF" w:rsidRPr="00CA10FF" w:rsidRDefault="00CA10FF" w:rsidP="00CA10FF">
      <w:pPr>
        <w:pStyle w:val="Lijstalinea"/>
        <w:numPr>
          <w:ilvl w:val="0"/>
          <w:numId w:val="15"/>
        </w:numPr>
        <w:tabs>
          <w:tab w:val="left" w:pos="460"/>
          <w:tab w:val="left" w:pos="461"/>
        </w:tabs>
        <w:spacing w:before="67"/>
        <w:ind w:right="113"/>
        <w:rPr>
          <w:sz w:val="18"/>
          <w:szCs w:val="18"/>
        </w:rPr>
      </w:pPr>
      <w:r w:rsidRPr="00CA10FF">
        <w:rPr>
          <w:sz w:val="18"/>
          <w:szCs w:val="18"/>
        </w:rPr>
        <w:t>Drafts will be reviewed by 2 reviewers. They will look specifically at:</w:t>
      </w:r>
    </w:p>
    <w:p w:rsidR="00CA10FF" w:rsidRPr="00CA10FF" w:rsidRDefault="00CA10FF" w:rsidP="00CA10FF">
      <w:pPr>
        <w:pStyle w:val="Lijstalinea"/>
        <w:numPr>
          <w:ilvl w:val="0"/>
          <w:numId w:val="18"/>
        </w:numPr>
        <w:tabs>
          <w:tab w:val="left" w:pos="851"/>
        </w:tabs>
        <w:spacing w:before="67"/>
        <w:ind w:left="567" w:right="113" w:firstLine="0"/>
        <w:rPr>
          <w:sz w:val="18"/>
          <w:szCs w:val="18"/>
        </w:rPr>
      </w:pPr>
      <w:r w:rsidRPr="00CA10FF">
        <w:rPr>
          <w:sz w:val="18"/>
          <w:szCs w:val="18"/>
        </w:rPr>
        <w:t>Solid and well written analysis building on reliable sources and dealing with potential criticism</w:t>
      </w:r>
    </w:p>
    <w:p w:rsidR="00CA10FF" w:rsidRPr="00CA10FF" w:rsidRDefault="00CA10FF" w:rsidP="00CA10FF">
      <w:pPr>
        <w:pStyle w:val="Lijstalinea"/>
        <w:numPr>
          <w:ilvl w:val="0"/>
          <w:numId w:val="18"/>
        </w:numPr>
        <w:tabs>
          <w:tab w:val="left" w:pos="851"/>
          <w:tab w:val="left" w:pos="1180"/>
          <w:tab w:val="left" w:pos="1181"/>
        </w:tabs>
        <w:spacing w:before="9" w:line="266" w:lineRule="auto"/>
        <w:ind w:left="567" w:right="106" w:firstLine="0"/>
        <w:rPr>
          <w:sz w:val="18"/>
          <w:szCs w:val="18"/>
        </w:rPr>
      </w:pPr>
      <w:r w:rsidRPr="00CA10FF">
        <w:rPr>
          <w:sz w:val="18"/>
          <w:szCs w:val="18"/>
        </w:rPr>
        <w:t>Relevant analysis in terms of addressing topics that are ‘hot’ or introducing topics ahead of the attention</w:t>
      </w:r>
      <w:r w:rsidRPr="00CA10FF">
        <w:rPr>
          <w:spacing w:val="-4"/>
          <w:sz w:val="18"/>
          <w:szCs w:val="18"/>
        </w:rPr>
        <w:t xml:space="preserve"> </w:t>
      </w:r>
      <w:r w:rsidRPr="00CA10FF">
        <w:rPr>
          <w:sz w:val="18"/>
          <w:szCs w:val="18"/>
        </w:rPr>
        <w:t>curve</w:t>
      </w:r>
    </w:p>
    <w:p w:rsidR="00CA10FF" w:rsidRPr="00CA10FF" w:rsidRDefault="00CA10FF" w:rsidP="00CA10FF">
      <w:pPr>
        <w:pStyle w:val="Lijstalinea"/>
        <w:numPr>
          <w:ilvl w:val="0"/>
          <w:numId w:val="18"/>
        </w:numPr>
        <w:tabs>
          <w:tab w:val="left" w:pos="851"/>
          <w:tab w:val="left" w:pos="1180"/>
          <w:tab w:val="left" w:pos="1181"/>
        </w:tabs>
        <w:spacing w:before="11" w:line="268" w:lineRule="auto"/>
        <w:ind w:left="567" w:right="632" w:firstLine="0"/>
        <w:rPr>
          <w:sz w:val="18"/>
          <w:szCs w:val="18"/>
        </w:rPr>
      </w:pPr>
      <w:r w:rsidRPr="00CA10FF">
        <w:rPr>
          <w:sz w:val="18"/>
          <w:szCs w:val="18"/>
        </w:rPr>
        <w:t>Clear conclusions (and potentially present them in innovative ways – such as using infographics)</w:t>
      </w:r>
    </w:p>
    <w:p w:rsidR="00CA10FF" w:rsidRPr="00CA10FF" w:rsidRDefault="00CA10FF" w:rsidP="00CA10FF">
      <w:pPr>
        <w:pStyle w:val="Lijstalinea"/>
        <w:numPr>
          <w:ilvl w:val="0"/>
          <w:numId w:val="18"/>
        </w:numPr>
        <w:tabs>
          <w:tab w:val="left" w:pos="851"/>
          <w:tab w:val="left" w:pos="1180"/>
          <w:tab w:val="left" w:pos="1181"/>
        </w:tabs>
        <w:spacing w:before="6" w:line="268" w:lineRule="auto"/>
        <w:ind w:left="567" w:right="260" w:firstLine="0"/>
        <w:rPr>
          <w:sz w:val="18"/>
          <w:szCs w:val="18"/>
        </w:rPr>
      </w:pPr>
      <w:r w:rsidRPr="00CA10FF">
        <w:rPr>
          <w:sz w:val="18"/>
          <w:szCs w:val="18"/>
        </w:rPr>
        <w:t>The publication being in line with the authors guidelines in terms of style and footnote referencing</w:t>
      </w:r>
    </w:p>
    <w:p w:rsidR="007C28B3" w:rsidRDefault="00EC7079">
      <w:pPr>
        <w:pStyle w:val="Lijstalinea"/>
        <w:numPr>
          <w:ilvl w:val="0"/>
          <w:numId w:val="15"/>
        </w:numPr>
        <w:tabs>
          <w:tab w:val="left" w:pos="460"/>
          <w:tab w:val="left" w:pos="461"/>
        </w:tabs>
        <w:spacing w:before="64" w:line="266" w:lineRule="exact"/>
        <w:ind w:right="113"/>
        <w:rPr>
          <w:sz w:val="18"/>
          <w:szCs w:val="18"/>
        </w:rPr>
      </w:pPr>
      <w:bookmarkStart w:id="0" w:name="_GoBack"/>
      <w:bookmarkEnd w:id="0"/>
      <w:r w:rsidRPr="00CA10FF">
        <w:rPr>
          <w:sz w:val="18"/>
          <w:szCs w:val="18"/>
        </w:rPr>
        <w:t>The policy briefs will be published on the website</w:t>
      </w:r>
      <w:r w:rsidR="00CA10FF" w:rsidRPr="00CA10FF">
        <w:rPr>
          <w:sz w:val="18"/>
          <w:szCs w:val="18"/>
        </w:rPr>
        <w:t xml:space="preserve">, will be included in the newsletter that is </w:t>
      </w:r>
      <w:r w:rsidRPr="00CA10FF">
        <w:rPr>
          <w:sz w:val="18"/>
          <w:szCs w:val="18"/>
        </w:rPr>
        <w:t xml:space="preserve">sent to </w:t>
      </w:r>
      <w:r w:rsidR="00CA10FF" w:rsidRPr="00CA10FF">
        <w:rPr>
          <w:sz w:val="18"/>
          <w:szCs w:val="18"/>
        </w:rPr>
        <w:t xml:space="preserve">a </w:t>
      </w:r>
      <w:r w:rsidRPr="00CA10FF">
        <w:rPr>
          <w:sz w:val="18"/>
          <w:szCs w:val="18"/>
        </w:rPr>
        <w:t>customized distribution</w:t>
      </w:r>
      <w:r w:rsidRPr="00CA10FF">
        <w:rPr>
          <w:spacing w:val="1"/>
          <w:sz w:val="18"/>
          <w:szCs w:val="18"/>
        </w:rPr>
        <w:t xml:space="preserve"> </w:t>
      </w:r>
      <w:r w:rsidRPr="00CA10FF">
        <w:rPr>
          <w:sz w:val="18"/>
          <w:szCs w:val="18"/>
        </w:rPr>
        <w:t>list.</w:t>
      </w:r>
      <w:r w:rsidR="00CA10FF" w:rsidRPr="00CA10FF">
        <w:rPr>
          <w:sz w:val="18"/>
          <w:szCs w:val="18"/>
        </w:rPr>
        <w:t xml:space="preserve"> They will also be promoted through twitter and other PSI social media channels. </w:t>
      </w:r>
    </w:p>
    <w:p w:rsidR="007B1165" w:rsidRDefault="007B1165" w:rsidP="007B1165">
      <w:pPr>
        <w:tabs>
          <w:tab w:val="left" w:pos="460"/>
          <w:tab w:val="left" w:pos="461"/>
        </w:tabs>
        <w:spacing w:before="64" w:line="266" w:lineRule="exact"/>
        <w:ind w:right="113"/>
        <w:rPr>
          <w:sz w:val="18"/>
          <w:szCs w:val="18"/>
        </w:rPr>
      </w:pPr>
    </w:p>
    <w:p w:rsidR="007B1165" w:rsidRPr="007B1165" w:rsidRDefault="007B1165" w:rsidP="007B1165">
      <w:pPr>
        <w:ind w:left="100"/>
        <w:jc w:val="both"/>
        <w:rPr>
          <w:b/>
        </w:rPr>
      </w:pPr>
      <w:r w:rsidRPr="007B1165">
        <w:rPr>
          <w:b/>
        </w:rPr>
        <w:t>Examples</w:t>
      </w:r>
    </w:p>
    <w:p w:rsidR="007C28B3" w:rsidRDefault="007C28B3">
      <w:pPr>
        <w:rPr>
          <w:rFonts w:ascii="Calibri"/>
        </w:rPr>
      </w:pPr>
    </w:p>
    <w:p w:rsidR="00CA10FF" w:rsidRDefault="007B1165">
      <w:pPr>
        <w:rPr>
          <w:rFonts w:ascii="Calibri"/>
        </w:rPr>
      </w:pPr>
      <w:r>
        <w:rPr>
          <w:rFonts w:ascii="Calibri"/>
        </w:rPr>
        <w:t xml:space="preserve">The EU and Climate Security </w:t>
      </w:r>
    </w:p>
    <w:p w:rsidR="00CA10FF" w:rsidRDefault="00144B40">
      <w:pPr>
        <w:rPr>
          <w:rFonts w:ascii="Calibri"/>
        </w:rPr>
      </w:pPr>
      <w:hyperlink r:id="rId9" w:history="1">
        <w:r w:rsidR="007B1165" w:rsidRPr="009426F4">
          <w:rPr>
            <w:rStyle w:val="Hyperlink"/>
            <w:rFonts w:ascii="Calibri"/>
          </w:rPr>
          <w:t>https://www.planetarysecurityinitiative.org/sites/default/files/2017-03/PB_The,P20EU_Climate_Security.pdf.pagespeed.ce.C75k3Wl-1K.pdf</w:t>
        </w:r>
      </w:hyperlink>
      <w:r w:rsidR="007B1165">
        <w:rPr>
          <w:rFonts w:ascii="Calibri"/>
        </w:rPr>
        <w:t xml:space="preserve"> </w:t>
      </w:r>
    </w:p>
    <w:p w:rsidR="005E126E" w:rsidRDefault="005E126E">
      <w:pPr>
        <w:rPr>
          <w:rFonts w:ascii="Calibri"/>
        </w:rPr>
      </w:pPr>
    </w:p>
    <w:p w:rsidR="005E126E" w:rsidRDefault="005E126E">
      <w:pPr>
        <w:rPr>
          <w:rFonts w:ascii="Calibri"/>
        </w:rPr>
      </w:pPr>
    </w:p>
    <w:p w:rsidR="005E126E" w:rsidRDefault="005E126E">
      <w:pPr>
        <w:rPr>
          <w:rFonts w:ascii="Calibri"/>
        </w:rPr>
      </w:pPr>
      <w:r w:rsidRPr="005E126E">
        <w:rPr>
          <w:rFonts w:ascii="Calibri"/>
        </w:rPr>
        <w:t>Enhancing regional cooperation in the Middle East and North Africa through the Water-Energy-Food Security Nexus</w:t>
      </w:r>
    </w:p>
    <w:p w:rsidR="005E126E" w:rsidRDefault="00144B40">
      <w:pPr>
        <w:rPr>
          <w:rFonts w:ascii="Calibri"/>
        </w:rPr>
      </w:pPr>
      <w:hyperlink r:id="rId10" w:history="1">
        <w:r w:rsidR="005E126E" w:rsidRPr="009426F4">
          <w:rPr>
            <w:rStyle w:val="Hyperlink"/>
            <w:rFonts w:ascii="Calibri"/>
          </w:rPr>
          <w:t>https://www.planetarysecurityinitiative.org/sites/default/files/2017-06/PB_PSI_MENA.pdf.pagespeed.ce.nKqus4fudj.pdf</w:t>
        </w:r>
      </w:hyperlink>
      <w:r w:rsidR="005E126E">
        <w:rPr>
          <w:rFonts w:ascii="Calibri"/>
        </w:rPr>
        <w:t xml:space="preserve"> </w:t>
      </w:r>
    </w:p>
    <w:p w:rsidR="005E126E" w:rsidRDefault="005E126E">
      <w:pPr>
        <w:rPr>
          <w:rFonts w:ascii="Calibri"/>
        </w:rPr>
      </w:pPr>
    </w:p>
    <w:p w:rsidR="005E126E" w:rsidRDefault="005E126E">
      <w:pPr>
        <w:rPr>
          <w:rFonts w:ascii="Calibri"/>
        </w:rPr>
      </w:pPr>
    </w:p>
    <w:p w:rsidR="005E126E" w:rsidRDefault="005E126E">
      <w:pPr>
        <w:rPr>
          <w:rFonts w:ascii="Calibri"/>
        </w:rPr>
      </w:pPr>
      <w:r>
        <w:rPr>
          <w:rFonts w:ascii="Calibri"/>
        </w:rPr>
        <w:t xml:space="preserve">At the Gate - </w:t>
      </w:r>
      <w:r w:rsidRPr="005E126E">
        <w:rPr>
          <w:rFonts w:ascii="Calibri"/>
        </w:rPr>
        <w:t>Civil and military protection of Europe</w:t>
      </w:r>
      <w:r w:rsidRPr="005E126E">
        <w:rPr>
          <w:rFonts w:ascii="Calibri"/>
        </w:rPr>
        <w:t>’</w:t>
      </w:r>
      <w:r w:rsidRPr="005E126E">
        <w:rPr>
          <w:rFonts w:ascii="Calibri"/>
        </w:rPr>
        <w:t>s borders</w:t>
      </w:r>
    </w:p>
    <w:p w:rsidR="005E126E" w:rsidRDefault="00144B40">
      <w:pPr>
        <w:rPr>
          <w:rFonts w:ascii="Calibri"/>
        </w:rPr>
        <w:sectPr w:rsidR="005E126E">
          <w:footerReference w:type="default" r:id="rId11"/>
          <w:pgSz w:w="11910" w:h="16840"/>
          <w:pgMar w:top="1400" w:right="1320" w:bottom="1680" w:left="1340" w:header="0" w:footer="1492" w:gutter="0"/>
          <w:pgNumType w:start="1"/>
          <w:cols w:space="708"/>
        </w:sectPr>
      </w:pPr>
      <w:hyperlink r:id="rId12" w:history="1">
        <w:r w:rsidR="005E126E" w:rsidRPr="009426F4">
          <w:rPr>
            <w:rStyle w:val="Hyperlink"/>
            <w:rFonts w:ascii="Calibri"/>
          </w:rPr>
          <w:t>https://www.clingendael.nl/sites/default/files/PB_At_%20the_%20gate.pdf</w:t>
        </w:r>
      </w:hyperlink>
      <w:r w:rsidR="005E126E">
        <w:rPr>
          <w:rFonts w:ascii="Calibri"/>
        </w:rPr>
        <w:t xml:space="preserve"> </w:t>
      </w:r>
    </w:p>
    <w:p w:rsidR="007C28B3" w:rsidRDefault="007C28B3">
      <w:pPr>
        <w:pStyle w:val="Plattetekst"/>
        <w:spacing w:before="8"/>
        <w:rPr>
          <w:rFonts w:ascii="Calibri"/>
          <w:sz w:val="9"/>
        </w:rPr>
      </w:pPr>
    </w:p>
    <w:p w:rsidR="007C28B3" w:rsidRDefault="00EC7079">
      <w:pPr>
        <w:spacing w:before="35"/>
        <w:ind w:left="1225" w:right="430"/>
        <w:rPr>
          <w:b/>
        </w:rPr>
      </w:pPr>
      <w:r>
        <w:rPr>
          <w:b/>
        </w:rPr>
        <w:t>Guidelines for authors - Clingendael / CRU Publications</w:t>
      </w:r>
    </w:p>
    <w:p w:rsidR="007C28B3" w:rsidRDefault="007C28B3">
      <w:pPr>
        <w:pStyle w:val="Plattetekst"/>
        <w:spacing w:before="2"/>
        <w:rPr>
          <w:b/>
          <w:sz w:val="20"/>
        </w:rPr>
      </w:pPr>
    </w:p>
    <w:p w:rsidR="007C28B3" w:rsidRDefault="00EC7079">
      <w:pPr>
        <w:pStyle w:val="Kop4"/>
        <w:spacing w:before="1" w:line="240" w:lineRule="auto"/>
        <w:ind w:right="430"/>
      </w:pPr>
      <w:r>
        <w:t>Guidelines regarding submission of text</w:t>
      </w:r>
    </w:p>
    <w:p w:rsidR="007C28B3" w:rsidRDefault="007C28B3">
      <w:pPr>
        <w:pStyle w:val="Plattetekst"/>
        <w:spacing w:before="11"/>
        <w:rPr>
          <w:b/>
          <w:sz w:val="17"/>
        </w:rPr>
      </w:pPr>
    </w:p>
    <w:p w:rsidR="007C28B3" w:rsidRDefault="00EC7079">
      <w:pPr>
        <w:pStyle w:val="Plattetekst"/>
        <w:ind w:left="116" w:right="430"/>
      </w:pPr>
      <w:r>
        <w:rPr>
          <w:b/>
        </w:rPr>
        <w:t xml:space="preserve">Lay out and text </w:t>
      </w:r>
      <w:r>
        <w:t>are submitted through the Word template for reports / policy briefs using the building blocks for adding information regarding author(s), editor(s), main / sub / short titles, tables, boxes, images, quotes, etc.</w:t>
      </w:r>
    </w:p>
    <w:p w:rsidR="007C28B3" w:rsidRDefault="00EC7079">
      <w:pPr>
        <w:pStyle w:val="Plattetekst"/>
        <w:spacing w:before="2"/>
        <w:ind w:left="116" w:right="430"/>
      </w:pPr>
      <w:r>
        <w:t>The lay out of the final version is automatically adapted in the Clingendael corporate style.</w:t>
      </w:r>
    </w:p>
    <w:p w:rsidR="007C28B3" w:rsidRDefault="007C28B3">
      <w:pPr>
        <w:pStyle w:val="Plattetekst"/>
        <w:spacing w:before="11"/>
        <w:rPr>
          <w:sz w:val="17"/>
        </w:rPr>
      </w:pPr>
    </w:p>
    <w:p w:rsidR="007C28B3" w:rsidRDefault="00EC7079">
      <w:pPr>
        <w:pStyle w:val="Plattetekst"/>
        <w:ind w:left="116" w:right="99"/>
      </w:pPr>
      <w:r>
        <w:rPr>
          <w:b/>
        </w:rPr>
        <w:t xml:space="preserve">Font </w:t>
      </w:r>
      <w:r>
        <w:t>for texts in Word is Verdana; body text Verdana 9.; (sub)headers, etc., Verdana 10. or 11.</w:t>
      </w:r>
    </w:p>
    <w:p w:rsidR="007C28B3" w:rsidRDefault="007C28B3">
      <w:pPr>
        <w:pStyle w:val="Plattetekst"/>
        <w:spacing w:before="11"/>
        <w:rPr>
          <w:sz w:val="17"/>
        </w:rPr>
      </w:pPr>
    </w:p>
    <w:p w:rsidR="007C28B3" w:rsidRDefault="00EC7079">
      <w:pPr>
        <w:pStyle w:val="Plattetekst"/>
        <w:spacing w:line="482" w:lineRule="auto"/>
        <w:ind w:left="116" w:right="3573"/>
      </w:pPr>
      <w:r>
        <w:rPr>
          <w:b/>
        </w:rPr>
        <w:t xml:space="preserve">Footnotes </w:t>
      </w:r>
      <w:r>
        <w:t xml:space="preserve">can be inserted in the body text in the usual way. Pages should be </w:t>
      </w:r>
      <w:r>
        <w:rPr>
          <w:b/>
        </w:rPr>
        <w:t xml:space="preserve">numbered </w:t>
      </w:r>
      <w:r>
        <w:t>sequentially.</w:t>
      </w:r>
    </w:p>
    <w:p w:rsidR="007C28B3" w:rsidRDefault="00EC7079">
      <w:pPr>
        <w:pStyle w:val="Plattetekst"/>
        <w:spacing w:line="216" w:lineRule="exact"/>
        <w:ind w:left="116" w:right="430"/>
      </w:pPr>
      <w:r>
        <w:rPr>
          <w:b/>
        </w:rPr>
        <w:t xml:space="preserve">Reports </w:t>
      </w:r>
      <w:r>
        <w:t>have in principle no limits in amount of words.</w:t>
      </w:r>
    </w:p>
    <w:p w:rsidR="007C28B3" w:rsidRDefault="00EC7079">
      <w:pPr>
        <w:pStyle w:val="Plattetekst"/>
        <w:ind w:left="116" w:right="544"/>
      </w:pPr>
      <w:r>
        <w:t>Reports present a more in depth and long-term analysis on key topics of Clingendael research. Lay out is indicated through the formats used in the templates for reports.</w:t>
      </w:r>
    </w:p>
    <w:p w:rsidR="007C28B3" w:rsidRDefault="00EC7079">
      <w:pPr>
        <w:pStyle w:val="Plattetekst"/>
        <w:spacing w:line="218" w:lineRule="exact"/>
        <w:ind w:left="116" w:right="430"/>
      </w:pPr>
      <w:r>
        <w:t>Chapters are numbered. This can be indicated in the template for reports.</w:t>
      </w:r>
    </w:p>
    <w:p w:rsidR="007C28B3" w:rsidRDefault="007C28B3">
      <w:pPr>
        <w:pStyle w:val="Plattetekst"/>
        <w:spacing w:before="2"/>
      </w:pPr>
    </w:p>
    <w:p w:rsidR="007C28B3" w:rsidRDefault="00EC7079">
      <w:pPr>
        <w:pStyle w:val="Plattetekst"/>
        <w:spacing w:line="219" w:lineRule="exact"/>
        <w:ind w:left="116" w:right="430"/>
      </w:pPr>
      <w:r>
        <w:rPr>
          <w:b/>
        </w:rPr>
        <w:t xml:space="preserve">Policy Briefs </w:t>
      </w:r>
      <w:r>
        <w:t>should be between 4,000 and 8,000 words in length for body text.</w:t>
      </w:r>
    </w:p>
    <w:p w:rsidR="007C28B3" w:rsidRDefault="00EC7079">
      <w:pPr>
        <w:pStyle w:val="Plattetekst"/>
        <w:ind w:left="116" w:right="99"/>
      </w:pPr>
      <w:r>
        <w:t>They are meant to be short policy analysis on current developments on international affairs. Contrary to Reports, Policy Briefs contain no numbered chapters. They are incorporated in the body text through general lay out using headings and sub-headings and are not indicated as a separate entity in the template for policy briefs.</w:t>
      </w:r>
    </w:p>
    <w:p w:rsidR="007C28B3" w:rsidRDefault="007C28B3">
      <w:pPr>
        <w:pStyle w:val="Plattetekst"/>
        <w:spacing w:before="11"/>
        <w:rPr>
          <w:sz w:val="17"/>
        </w:rPr>
      </w:pPr>
    </w:p>
    <w:p w:rsidR="007C28B3" w:rsidRDefault="00EC7079">
      <w:pPr>
        <w:pStyle w:val="Plattetekst"/>
        <w:ind w:left="116" w:right="250"/>
      </w:pPr>
      <w:r>
        <w:t>Clingendael publications have a clear scope. They are accessible and focused on the targeted audiences. They are structured according to the guidelines of the Clingendael corporate style, and can contain elements such as an executive summary, an acknowledgement, an introduction, conclusion(s) and / or recommendations, and clearly defined annexes.</w:t>
      </w:r>
    </w:p>
    <w:p w:rsidR="007C28B3" w:rsidRDefault="007C28B3">
      <w:pPr>
        <w:pStyle w:val="Plattetekst"/>
        <w:spacing w:before="11"/>
        <w:rPr>
          <w:sz w:val="17"/>
        </w:rPr>
      </w:pPr>
    </w:p>
    <w:p w:rsidR="007C28B3" w:rsidRDefault="00EC7079">
      <w:pPr>
        <w:spacing w:line="219" w:lineRule="exact"/>
        <w:ind w:left="116" w:right="430"/>
        <w:rPr>
          <w:sz w:val="18"/>
        </w:rPr>
      </w:pPr>
      <w:r>
        <w:rPr>
          <w:b/>
          <w:sz w:val="18"/>
        </w:rPr>
        <w:t xml:space="preserve">Executive summaries </w:t>
      </w:r>
      <w:r>
        <w:rPr>
          <w:sz w:val="18"/>
        </w:rPr>
        <w:t>should contain no more than 350 - 400 words.</w:t>
      </w:r>
    </w:p>
    <w:p w:rsidR="007C28B3" w:rsidRDefault="00EC7079">
      <w:pPr>
        <w:pStyle w:val="Plattetekst"/>
        <w:ind w:left="116" w:right="410"/>
      </w:pPr>
      <w:r>
        <w:rPr>
          <w:b/>
        </w:rPr>
        <w:t xml:space="preserve">Information on authors / editors </w:t>
      </w:r>
      <w:r>
        <w:t>is updated, contains the latest and most relevant expertise and consists of three to four lines. This information is inserted through a format in the relevant template.</w:t>
      </w:r>
    </w:p>
    <w:p w:rsidR="007C28B3" w:rsidRDefault="00EC7079">
      <w:pPr>
        <w:pStyle w:val="Plattetekst"/>
        <w:ind w:left="116" w:right="277"/>
      </w:pPr>
      <w:r>
        <w:rPr>
          <w:b/>
        </w:rPr>
        <w:t xml:space="preserve">Graphics </w:t>
      </w:r>
      <w:r>
        <w:t>/ images / maps, etc., are described or inserted via hyperlink in the format in the relevant template and included as a separate attachement, preferably an original image in jpg. or png. with the highest possible resolution.</w:t>
      </w:r>
    </w:p>
    <w:p w:rsidR="007C28B3" w:rsidRDefault="00EC7079">
      <w:pPr>
        <w:spacing w:line="218" w:lineRule="exact"/>
        <w:ind w:left="116" w:right="99"/>
        <w:rPr>
          <w:sz w:val="18"/>
        </w:rPr>
      </w:pPr>
      <w:r>
        <w:rPr>
          <w:b/>
          <w:sz w:val="18"/>
        </w:rPr>
        <w:t xml:space="preserve">Five to ten keywords </w:t>
      </w:r>
      <w:r>
        <w:rPr>
          <w:sz w:val="18"/>
        </w:rPr>
        <w:t>on the main issues / topics / countries / region(s) for reference purposes.</w:t>
      </w:r>
    </w:p>
    <w:p w:rsidR="007C28B3" w:rsidRDefault="007C28B3">
      <w:pPr>
        <w:pStyle w:val="Plattetekst"/>
        <w:spacing w:before="1"/>
      </w:pPr>
    </w:p>
    <w:p w:rsidR="007C28B3" w:rsidRDefault="00EC7079">
      <w:pPr>
        <w:pStyle w:val="Plattetekst"/>
        <w:spacing w:line="219" w:lineRule="exact"/>
        <w:ind w:left="116" w:right="430"/>
      </w:pPr>
      <w:r>
        <w:rPr>
          <w:b/>
        </w:rPr>
        <w:t xml:space="preserve">Titles </w:t>
      </w:r>
      <w:r>
        <w:t>should be no longer than 80 characters.</w:t>
      </w:r>
    </w:p>
    <w:p w:rsidR="007C28B3" w:rsidRDefault="00EC7079">
      <w:pPr>
        <w:pStyle w:val="Plattetekst"/>
        <w:spacing w:line="218" w:lineRule="exact"/>
        <w:ind w:left="116" w:right="430"/>
      </w:pPr>
      <w:r>
        <w:rPr>
          <w:b/>
        </w:rPr>
        <w:t xml:space="preserve">Subtitles </w:t>
      </w:r>
      <w:r>
        <w:t>should be no longer than 120 characters.</w:t>
      </w:r>
    </w:p>
    <w:p w:rsidR="007C28B3" w:rsidRDefault="00EC7079">
      <w:pPr>
        <w:pStyle w:val="Plattetekst"/>
        <w:ind w:left="116" w:right="430"/>
      </w:pPr>
      <w:r>
        <w:rPr>
          <w:b/>
        </w:rPr>
        <w:t xml:space="preserve">Short titles </w:t>
      </w:r>
      <w:r>
        <w:t>for web pubs should be no longer than 20 – 30 characters.</w:t>
      </w:r>
    </w:p>
    <w:p w:rsidR="007C28B3" w:rsidRDefault="007C28B3">
      <w:pPr>
        <w:pStyle w:val="Plattetekst"/>
      </w:pPr>
    </w:p>
    <w:p w:rsidR="007C28B3" w:rsidRDefault="00EC7079">
      <w:pPr>
        <w:spacing w:before="1"/>
        <w:ind w:left="116" w:right="430"/>
        <w:rPr>
          <w:sz w:val="18"/>
        </w:rPr>
      </w:pPr>
      <w:r>
        <w:rPr>
          <w:b/>
          <w:sz w:val="20"/>
        </w:rPr>
        <w:t>Guidelines regarding language and elements in text</w:t>
      </w:r>
      <w:r>
        <w:rPr>
          <w:sz w:val="18"/>
        </w:rPr>
        <w:t>:</w:t>
      </w:r>
    </w:p>
    <w:p w:rsidR="007C28B3" w:rsidRDefault="007C28B3">
      <w:pPr>
        <w:pStyle w:val="Plattetekst"/>
        <w:spacing w:before="2"/>
      </w:pPr>
    </w:p>
    <w:p w:rsidR="007C28B3" w:rsidRDefault="00EC7079">
      <w:pPr>
        <w:pStyle w:val="Kop4"/>
        <w:ind w:right="430"/>
      </w:pPr>
      <w:r>
        <w:t>General:</w:t>
      </w:r>
    </w:p>
    <w:p w:rsidR="007C28B3" w:rsidRDefault="00EC7079">
      <w:pPr>
        <w:spacing w:line="218" w:lineRule="exact"/>
        <w:ind w:left="116" w:right="430"/>
        <w:rPr>
          <w:b/>
          <w:sz w:val="18"/>
        </w:rPr>
      </w:pPr>
      <w:r>
        <w:rPr>
          <w:b/>
          <w:sz w:val="18"/>
        </w:rPr>
        <w:t>All texts are written in UK English (and not in US English)</w:t>
      </w:r>
    </w:p>
    <w:p w:rsidR="007C28B3" w:rsidRDefault="00EC7079">
      <w:pPr>
        <w:pStyle w:val="Plattetekst"/>
        <w:spacing w:line="218" w:lineRule="exact"/>
        <w:ind w:left="116" w:right="430"/>
      </w:pPr>
      <w:r>
        <w:t>In all texts UK English is used for:</w:t>
      </w:r>
    </w:p>
    <w:p w:rsidR="007C28B3" w:rsidRDefault="00EC7079">
      <w:pPr>
        <w:pStyle w:val="Lijstalinea"/>
        <w:numPr>
          <w:ilvl w:val="0"/>
          <w:numId w:val="12"/>
        </w:numPr>
        <w:tabs>
          <w:tab w:val="left" w:pos="836"/>
          <w:tab w:val="left" w:pos="837"/>
        </w:tabs>
        <w:spacing w:line="218" w:lineRule="exact"/>
        <w:rPr>
          <w:sz w:val="18"/>
        </w:rPr>
      </w:pPr>
      <w:r>
        <w:rPr>
          <w:sz w:val="18"/>
        </w:rPr>
        <w:t>Spelling and</w:t>
      </w:r>
      <w:r>
        <w:rPr>
          <w:spacing w:val="-11"/>
          <w:sz w:val="18"/>
        </w:rPr>
        <w:t xml:space="preserve"> </w:t>
      </w:r>
      <w:r>
        <w:rPr>
          <w:sz w:val="18"/>
        </w:rPr>
        <w:t>Vocabulary;</w:t>
      </w:r>
    </w:p>
    <w:p w:rsidR="007C28B3" w:rsidRDefault="00EC7079">
      <w:pPr>
        <w:pStyle w:val="Lijstalinea"/>
        <w:numPr>
          <w:ilvl w:val="0"/>
          <w:numId w:val="12"/>
        </w:numPr>
        <w:tabs>
          <w:tab w:val="left" w:pos="836"/>
          <w:tab w:val="left" w:pos="837"/>
        </w:tabs>
        <w:rPr>
          <w:sz w:val="18"/>
        </w:rPr>
      </w:pPr>
      <w:r>
        <w:rPr>
          <w:sz w:val="18"/>
        </w:rPr>
        <w:t>Abbreviations;</w:t>
      </w:r>
    </w:p>
    <w:p w:rsidR="007C28B3" w:rsidRDefault="00EC7079">
      <w:pPr>
        <w:pStyle w:val="Lijstalinea"/>
        <w:numPr>
          <w:ilvl w:val="0"/>
          <w:numId w:val="12"/>
        </w:numPr>
        <w:tabs>
          <w:tab w:val="left" w:pos="836"/>
          <w:tab w:val="left" w:pos="837"/>
        </w:tabs>
        <w:spacing w:before="2"/>
        <w:rPr>
          <w:sz w:val="18"/>
        </w:rPr>
      </w:pPr>
      <w:r>
        <w:rPr>
          <w:sz w:val="18"/>
        </w:rPr>
        <w:t>Hyphenations;</w:t>
      </w:r>
    </w:p>
    <w:p w:rsidR="007C28B3" w:rsidRDefault="00EC7079">
      <w:pPr>
        <w:pStyle w:val="Lijstalinea"/>
        <w:numPr>
          <w:ilvl w:val="0"/>
          <w:numId w:val="12"/>
        </w:numPr>
        <w:tabs>
          <w:tab w:val="left" w:pos="836"/>
          <w:tab w:val="left" w:pos="837"/>
        </w:tabs>
        <w:spacing w:line="219" w:lineRule="exact"/>
        <w:rPr>
          <w:sz w:val="18"/>
        </w:rPr>
      </w:pPr>
      <w:r>
        <w:rPr>
          <w:sz w:val="18"/>
        </w:rPr>
        <w:t>Quotations (using the exact words of another</w:t>
      </w:r>
      <w:r>
        <w:rPr>
          <w:spacing w:val="-26"/>
          <w:sz w:val="18"/>
        </w:rPr>
        <w:t xml:space="preserve"> </w:t>
      </w:r>
      <w:r>
        <w:rPr>
          <w:sz w:val="18"/>
        </w:rPr>
        <w:t>author);</w:t>
      </w:r>
    </w:p>
    <w:p w:rsidR="007C28B3" w:rsidRDefault="00EC7079">
      <w:pPr>
        <w:pStyle w:val="Lijstalinea"/>
        <w:numPr>
          <w:ilvl w:val="0"/>
          <w:numId w:val="12"/>
        </w:numPr>
        <w:tabs>
          <w:tab w:val="left" w:pos="836"/>
          <w:tab w:val="left" w:pos="837"/>
        </w:tabs>
        <w:spacing w:line="218" w:lineRule="exact"/>
        <w:rPr>
          <w:sz w:val="18"/>
        </w:rPr>
      </w:pPr>
      <w:r>
        <w:rPr>
          <w:sz w:val="18"/>
        </w:rPr>
        <w:t>Punctuations;</w:t>
      </w:r>
    </w:p>
    <w:p w:rsidR="007C28B3" w:rsidRDefault="00EC7079">
      <w:pPr>
        <w:pStyle w:val="Lijstalinea"/>
        <w:numPr>
          <w:ilvl w:val="0"/>
          <w:numId w:val="12"/>
        </w:numPr>
        <w:tabs>
          <w:tab w:val="left" w:pos="836"/>
          <w:tab w:val="left" w:pos="837"/>
        </w:tabs>
        <w:spacing w:line="218" w:lineRule="exact"/>
        <w:rPr>
          <w:sz w:val="18"/>
        </w:rPr>
      </w:pPr>
      <w:r>
        <w:rPr>
          <w:sz w:val="18"/>
        </w:rPr>
        <w:t>Numbers and</w:t>
      </w:r>
      <w:r>
        <w:rPr>
          <w:spacing w:val="-6"/>
          <w:sz w:val="18"/>
        </w:rPr>
        <w:t xml:space="preserve"> </w:t>
      </w:r>
      <w:r>
        <w:rPr>
          <w:sz w:val="18"/>
        </w:rPr>
        <w:t>Dates;</w:t>
      </w:r>
    </w:p>
    <w:p w:rsidR="007C28B3" w:rsidRDefault="00EC7079">
      <w:pPr>
        <w:pStyle w:val="Lijstalinea"/>
        <w:numPr>
          <w:ilvl w:val="0"/>
          <w:numId w:val="12"/>
        </w:numPr>
        <w:tabs>
          <w:tab w:val="left" w:pos="836"/>
          <w:tab w:val="left" w:pos="837"/>
        </w:tabs>
        <w:spacing w:line="218" w:lineRule="exact"/>
        <w:rPr>
          <w:sz w:val="18"/>
        </w:rPr>
      </w:pPr>
      <w:r>
        <w:rPr>
          <w:sz w:val="18"/>
        </w:rPr>
        <w:t>Names and</w:t>
      </w:r>
      <w:r>
        <w:rPr>
          <w:spacing w:val="-10"/>
          <w:sz w:val="18"/>
        </w:rPr>
        <w:t xml:space="preserve"> </w:t>
      </w:r>
      <w:r>
        <w:rPr>
          <w:sz w:val="18"/>
        </w:rPr>
        <w:t>Terms;</w:t>
      </w:r>
    </w:p>
    <w:p w:rsidR="007C28B3" w:rsidRDefault="00EC7079">
      <w:pPr>
        <w:pStyle w:val="Lijstalinea"/>
        <w:numPr>
          <w:ilvl w:val="0"/>
          <w:numId w:val="12"/>
        </w:numPr>
        <w:tabs>
          <w:tab w:val="left" w:pos="836"/>
          <w:tab w:val="left" w:pos="837"/>
        </w:tabs>
        <w:rPr>
          <w:sz w:val="18"/>
        </w:rPr>
      </w:pPr>
      <w:r>
        <w:rPr>
          <w:sz w:val="18"/>
        </w:rPr>
        <w:t>Citations (citing another author in your own</w:t>
      </w:r>
      <w:r>
        <w:rPr>
          <w:spacing w:val="-25"/>
          <w:sz w:val="18"/>
        </w:rPr>
        <w:t xml:space="preserve"> </w:t>
      </w:r>
      <w:r>
        <w:rPr>
          <w:sz w:val="18"/>
        </w:rPr>
        <w:t>words).</w:t>
      </w:r>
    </w:p>
    <w:p w:rsidR="007C28B3" w:rsidRDefault="007C28B3">
      <w:pPr>
        <w:pStyle w:val="Plattetekst"/>
        <w:spacing w:before="1"/>
      </w:pPr>
    </w:p>
    <w:p w:rsidR="007C28B3" w:rsidRDefault="00EC7079">
      <w:pPr>
        <w:pStyle w:val="Plattetekst"/>
        <w:ind w:left="116" w:right="277"/>
      </w:pPr>
      <w:r>
        <w:t>Foreign slogans and other phrases that are not names should be italicized, unless they have been anglicized. For example</w:t>
      </w:r>
      <w:r>
        <w:rPr>
          <w:i/>
        </w:rPr>
        <w:t>: per se, à la mode</w:t>
      </w:r>
      <w:r>
        <w:t>.</w:t>
      </w:r>
    </w:p>
    <w:p w:rsidR="007C28B3" w:rsidRDefault="007C28B3">
      <w:pPr>
        <w:sectPr w:rsidR="007C28B3">
          <w:footerReference w:type="default" r:id="rId13"/>
          <w:pgSz w:w="11910" w:h="16840"/>
          <w:pgMar w:top="1360" w:right="1320" w:bottom="1200" w:left="1300" w:header="0" w:footer="1003" w:gutter="0"/>
          <w:pgNumType w:start="1"/>
          <w:cols w:space="708"/>
        </w:sectPr>
      </w:pPr>
    </w:p>
    <w:p w:rsidR="007C28B3" w:rsidRDefault="00EC7079">
      <w:pPr>
        <w:pStyle w:val="Kop4"/>
        <w:spacing w:before="39" w:line="240" w:lineRule="auto"/>
        <w:ind w:left="216" w:right="578"/>
      </w:pPr>
      <w:r>
        <w:lastRenderedPageBreak/>
        <w:t>Language and Spelling</w:t>
      </w:r>
    </w:p>
    <w:p w:rsidR="007C28B3" w:rsidRDefault="00EC7079">
      <w:pPr>
        <w:pStyle w:val="Plattetekst"/>
        <w:spacing w:before="2"/>
        <w:ind w:left="216" w:right="578"/>
      </w:pPr>
      <w:r>
        <w:t>Language should be clear, concise and legible.</w:t>
      </w:r>
    </w:p>
    <w:p w:rsidR="007C28B3" w:rsidRDefault="00EC7079">
      <w:pPr>
        <w:pStyle w:val="Plattetekst"/>
        <w:ind w:left="216" w:right="578"/>
      </w:pPr>
      <w:r>
        <w:t>Clingendael only uses British spelling and vocabulary, and makes no use of US English:</w:t>
      </w:r>
    </w:p>
    <w:p w:rsidR="007C28B3" w:rsidRDefault="007C28B3">
      <w:pPr>
        <w:pStyle w:val="Plattetekst"/>
        <w:spacing w:before="10"/>
        <w:rPr>
          <w:sz w:val="17"/>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607"/>
      </w:tblGrid>
      <w:tr w:rsidR="007C28B3">
        <w:trPr>
          <w:trHeight w:hRule="exact" w:val="228"/>
        </w:trPr>
        <w:tc>
          <w:tcPr>
            <w:tcW w:w="4607" w:type="dxa"/>
          </w:tcPr>
          <w:p w:rsidR="007C28B3" w:rsidRDefault="00EC7079">
            <w:pPr>
              <w:pStyle w:val="TableParagraph"/>
              <w:rPr>
                <w:b/>
                <w:sz w:val="18"/>
              </w:rPr>
            </w:pPr>
            <w:r>
              <w:rPr>
                <w:b/>
                <w:sz w:val="18"/>
              </w:rPr>
              <w:t>UK English</w:t>
            </w:r>
          </w:p>
        </w:tc>
        <w:tc>
          <w:tcPr>
            <w:tcW w:w="4607" w:type="dxa"/>
          </w:tcPr>
          <w:p w:rsidR="007C28B3" w:rsidRDefault="00EC7079">
            <w:pPr>
              <w:pStyle w:val="TableParagraph"/>
              <w:ind w:left="105"/>
              <w:rPr>
                <w:b/>
                <w:sz w:val="18"/>
              </w:rPr>
            </w:pPr>
            <w:r>
              <w:rPr>
                <w:b/>
                <w:sz w:val="18"/>
              </w:rPr>
              <w:t>US English</w:t>
            </w:r>
          </w:p>
        </w:tc>
      </w:tr>
      <w:tr w:rsidR="007C28B3">
        <w:trPr>
          <w:trHeight w:hRule="exact" w:val="230"/>
        </w:trPr>
        <w:tc>
          <w:tcPr>
            <w:tcW w:w="4607" w:type="dxa"/>
          </w:tcPr>
          <w:p w:rsidR="007C28B3" w:rsidRDefault="00EC7079">
            <w:pPr>
              <w:pStyle w:val="TableParagraph"/>
              <w:spacing w:before="4"/>
              <w:rPr>
                <w:sz w:val="18"/>
              </w:rPr>
            </w:pPr>
            <w:r>
              <w:rPr>
                <w:sz w:val="18"/>
              </w:rPr>
              <w:t xml:space="preserve">The committee </w:t>
            </w:r>
            <w:r>
              <w:rPr>
                <w:b/>
                <w:sz w:val="18"/>
              </w:rPr>
              <w:t xml:space="preserve">were </w:t>
            </w:r>
            <w:r>
              <w:rPr>
                <w:sz w:val="18"/>
              </w:rPr>
              <w:t>unable to agree (plural)</w:t>
            </w:r>
          </w:p>
        </w:tc>
        <w:tc>
          <w:tcPr>
            <w:tcW w:w="4607" w:type="dxa"/>
          </w:tcPr>
          <w:p w:rsidR="007C28B3" w:rsidRDefault="00EC7079">
            <w:pPr>
              <w:pStyle w:val="TableParagraph"/>
              <w:spacing w:before="4"/>
              <w:ind w:left="105"/>
              <w:rPr>
                <w:sz w:val="18"/>
              </w:rPr>
            </w:pPr>
            <w:r>
              <w:rPr>
                <w:sz w:val="18"/>
              </w:rPr>
              <w:t xml:space="preserve">The Committee </w:t>
            </w:r>
            <w:r>
              <w:rPr>
                <w:b/>
                <w:sz w:val="18"/>
              </w:rPr>
              <w:t xml:space="preserve">was </w:t>
            </w:r>
            <w:r>
              <w:rPr>
                <w:sz w:val="18"/>
              </w:rPr>
              <w:t>unable to agree (sing.)</w:t>
            </w:r>
          </w:p>
        </w:tc>
      </w:tr>
      <w:tr w:rsidR="007C28B3">
        <w:trPr>
          <w:trHeight w:hRule="exact" w:val="228"/>
        </w:trPr>
        <w:tc>
          <w:tcPr>
            <w:tcW w:w="4607" w:type="dxa"/>
          </w:tcPr>
          <w:p w:rsidR="007C28B3" w:rsidRDefault="00EC7079">
            <w:pPr>
              <w:pStyle w:val="TableParagraph"/>
              <w:rPr>
                <w:sz w:val="18"/>
              </w:rPr>
            </w:pPr>
            <w:r>
              <w:rPr>
                <w:sz w:val="18"/>
              </w:rPr>
              <w:t xml:space="preserve">The government </w:t>
            </w:r>
            <w:r>
              <w:rPr>
                <w:b/>
                <w:sz w:val="18"/>
              </w:rPr>
              <w:t xml:space="preserve">are </w:t>
            </w:r>
            <w:r>
              <w:rPr>
                <w:sz w:val="18"/>
              </w:rPr>
              <w:t>taking measures (plural)</w:t>
            </w:r>
          </w:p>
        </w:tc>
        <w:tc>
          <w:tcPr>
            <w:tcW w:w="4607" w:type="dxa"/>
          </w:tcPr>
          <w:p w:rsidR="007C28B3" w:rsidRDefault="00EC7079">
            <w:pPr>
              <w:pStyle w:val="TableParagraph"/>
              <w:ind w:left="105"/>
              <w:rPr>
                <w:sz w:val="18"/>
              </w:rPr>
            </w:pPr>
            <w:r>
              <w:rPr>
                <w:sz w:val="18"/>
              </w:rPr>
              <w:t xml:space="preserve">The government </w:t>
            </w:r>
            <w:r>
              <w:rPr>
                <w:b/>
                <w:sz w:val="18"/>
              </w:rPr>
              <w:t xml:space="preserve">is </w:t>
            </w:r>
            <w:r>
              <w:rPr>
                <w:sz w:val="18"/>
              </w:rPr>
              <w:t>taking measures (sing.)</w:t>
            </w:r>
          </w:p>
        </w:tc>
      </w:tr>
      <w:tr w:rsidR="007C28B3">
        <w:trPr>
          <w:trHeight w:hRule="exact" w:val="228"/>
        </w:trPr>
        <w:tc>
          <w:tcPr>
            <w:tcW w:w="4607" w:type="dxa"/>
          </w:tcPr>
          <w:p w:rsidR="007C28B3" w:rsidRDefault="00EC7079">
            <w:pPr>
              <w:pStyle w:val="TableParagraph"/>
              <w:rPr>
                <w:sz w:val="18"/>
              </w:rPr>
            </w:pPr>
            <w:r>
              <w:rPr>
                <w:sz w:val="18"/>
              </w:rPr>
              <w:t>Learned or learnt / spoiled or spoilt</w:t>
            </w:r>
          </w:p>
        </w:tc>
        <w:tc>
          <w:tcPr>
            <w:tcW w:w="4607" w:type="dxa"/>
          </w:tcPr>
          <w:p w:rsidR="007C28B3" w:rsidRDefault="00EC7079">
            <w:pPr>
              <w:pStyle w:val="TableParagraph"/>
              <w:ind w:left="105"/>
              <w:rPr>
                <w:sz w:val="18"/>
              </w:rPr>
            </w:pPr>
            <w:r>
              <w:rPr>
                <w:sz w:val="18"/>
              </w:rPr>
              <w:t>Learned / spoiled</w:t>
            </w:r>
          </w:p>
        </w:tc>
      </w:tr>
      <w:tr w:rsidR="007C28B3">
        <w:trPr>
          <w:trHeight w:hRule="exact" w:val="230"/>
        </w:trPr>
        <w:tc>
          <w:tcPr>
            <w:tcW w:w="4607" w:type="dxa"/>
          </w:tcPr>
          <w:p w:rsidR="007C28B3" w:rsidRDefault="00EC7079">
            <w:pPr>
              <w:pStyle w:val="TableParagraph"/>
              <w:rPr>
                <w:sz w:val="18"/>
              </w:rPr>
            </w:pPr>
            <w:r>
              <w:rPr>
                <w:sz w:val="18"/>
              </w:rPr>
              <w:t>Sawn</w:t>
            </w:r>
          </w:p>
        </w:tc>
        <w:tc>
          <w:tcPr>
            <w:tcW w:w="4607" w:type="dxa"/>
          </w:tcPr>
          <w:p w:rsidR="007C28B3" w:rsidRDefault="00EC7079">
            <w:pPr>
              <w:pStyle w:val="TableParagraph"/>
              <w:ind w:left="105"/>
              <w:rPr>
                <w:sz w:val="18"/>
              </w:rPr>
            </w:pPr>
            <w:r>
              <w:rPr>
                <w:sz w:val="18"/>
              </w:rPr>
              <w:t>Sawed</w:t>
            </w:r>
          </w:p>
        </w:tc>
      </w:tr>
      <w:tr w:rsidR="007C28B3">
        <w:trPr>
          <w:trHeight w:hRule="exact" w:val="228"/>
        </w:trPr>
        <w:tc>
          <w:tcPr>
            <w:tcW w:w="4607" w:type="dxa"/>
          </w:tcPr>
          <w:p w:rsidR="007C28B3" w:rsidRDefault="00EC7079">
            <w:pPr>
              <w:pStyle w:val="TableParagraph"/>
              <w:rPr>
                <w:sz w:val="18"/>
              </w:rPr>
            </w:pPr>
            <w:r>
              <w:rPr>
                <w:sz w:val="18"/>
              </w:rPr>
              <w:t>Proved / proven</w:t>
            </w:r>
          </w:p>
        </w:tc>
        <w:tc>
          <w:tcPr>
            <w:tcW w:w="4607" w:type="dxa"/>
          </w:tcPr>
          <w:p w:rsidR="007C28B3" w:rsidRDefault="00EC7079">
            <w:pPr>
              <w:pStyle w:val="TableParagraph"/>
              <w:ind w:left="105"/>
              <w:rPr>
                <w:sz w:val="18"/>
              </w:rPr>
            </w:pPr>
            <w:r>
              <w:rPr>
                <w:sz w:val="18"/>
              </w:rPr>
              <w:t>Proven</w:t>
            </w:r>
          </w:p>
        </w:tc>
      </w:tr>
      <w:tr w:rsidR="007C28B3">
        <w:trPr>
          <w:trHeight w:hRule="exact" w:val="228"/>
        </w:trPr>
        <w:tc>
          <w:tcPr>
            <w:tcW w:w="4607" w:type="dxa"/>
          </w:tcPr>
          <w:p w:rsidR="007C28B3" w:rsidRDefault="00EC7079">
            <w:pPr>
              <w:pStyle w:val="TableParagraph"/>
              <w:rPr>
                <w:sz w:val="18"/>
              </w:rPr>
            </w:pPr>
            <w:r>
              <w:rPr>
                <w:sz w:val="18"/>
              </w:rPr>
              <w:t>At university</w:t>
            </w:r>
          </w:p>
        </w:tc>
        <w:tc>
          <w:tcPr>
            <w:tcW w:w="4607" w:type="dxa"/>
          </w:tcPr>
          <w:p w:rsidR="007C28B3" w:rsidRDefault="00EC7079">
            <w:pPr>
              <w:pStyle w:val="TableParagraph"/>
              <w:ind w:left="105"/>
              <w:rPr>
                <w:sz w:val="18"/>
              </w:rPr>
            </w:pPr>
            <w:r>
              <w:rPr>
                <w:sz w:val="18"/>
              </w:rPr>
              <w:t>At the university</w:t>
            </w:r>
          </w:p>
        </w:tc>
      </w:tr>
      <w:tr w:rsidR="007C28B3">
        <w:trPr>
          <w:trHeight w:hRule="exact" w:val="230"/>
        </w:trPr>
        <w:tc>
          <w:tcPr>
            <w:tcW w:w="4607" w:type="dxa"/>
          </w:tcPr>
          <w:p w:rsidR="007C28B3" w:rsidRDefault="00EC7079">
            <w:pPr>
              <w:pStyle w:val="TableParagraph"/>
              <w:rPr>
                <w:sz w:val="18"/>
              </w:rPr>
            </w:pPr>
            <w:r>
              <w:rPr>
                <w:sz w:val="18"/>
              </w:rPr>
              <w:t>Timetable/ fortnight / post / petrol</w:t>
            </w:r>
          </w:p>
        </w:tc>
        <w:tc>
          <w:tcPr>
            <w:tcW w:w="4607" w:type="dxa"/>
          </w:tcPr>
          <w:p w:rsidR="007C28B3" w:rsidRDefault="00EC7079">
            <w:pPr>
              <w:pStyle w:val="TableParagraph"/>
              <w:ind w:left="105"/>
              <w:rPr>
                <w:sz w:val="18"/>
              </w:rPr>
            </w:pPr>
            <w:r>
              <w:rPr>
                <w:sz w:val="18"/>
              </w:rPr>
              <w:t>Schedule /two weeks / mail / gas</w:t>
            </w:r>
          </w:p>
        </w:tc>
      </w:tr>
      <w:tr w:rsidR="007C28B3">
        <w:trPr>
          <w:trHeight w:hRule="exact" w:val="228"/>
        </w:trPr>
        <w:tc>
          <w:tcPr>
            <w:tcW w:w="4607" w:type="dxa"/>
          </w:tcPr>
          <w:p w:rsidR="007C28B3" w:rsidRDefault="00EC7079">
            <w:pPr>
              <w:pStyle w:val="TableParagraph"/>
              <w:rPr>
                <w:sz w:val="18"/>
              </w:rPr>
            </w:pPr>
            <w:r>
              <w:rPr>
                <w:sz w:val="18"/>
              </w:rPr>
              <w:t>Mr / Mrs / Dr (no period)</w:t>
            </w:r>
          </w:p>
        </w:tc>
        <w:tc>
          <w:tcPr>
            <w:tcW w:w="4607" w:type="dxa"/>
          </w:tcPr>
          <w:p w:rsidR="007C28B3" w:rsidRDefault="00EC7079">
            <w:pPr>
              <w:pStyle w:val="TableParagraph"/>
              <w:ind w:left="105"/>
              <w:rPr>
                <w:sz w:val="18"/>
              </w:rPr>
            </w:pPr>
            <w:r>
              <w:rPr>
                <w:sz w:val="18"/>
              </w:rPr>
              <w:t>Mr. / Mrs. / Dr. (with period)</w:t>
            </w:r>
          </w:p>
        </w:tc>
      </w:tr>
      <w:tr w:rsidR="007C28B3">
        <w:trPr>
          <w:trHeight w:hRule="exact" w:val="228"/>
        </w:trPr>
        <w:tc>
          <w:tcPr>
            <w:tcW w:w="4607" w:type="dxa"/>
          </w:tcPr>
          <w:p w:rsidR="007C28B3" w:rsidRDefault="00EC7079">
            <w:pPr>
              <w:pStyle w:val="TableParagraph"/>
              <w:rPr>
                <w:sz w:val="18"/>
              </w:rPr>
            </w:pPr>
            <w:r>
              <w:rPr>
                <w:sz w:val="18"/>
              </w:rPr>
              <w:t>Centre</w:t>
            </w:r>
          </w:p>
        </w:tc>
        <w:tc>
          <w:tcPr>
            <w:tcW w:w="4607" w:type="dxa"/>
          </w:tcPr>
          <w:p w:rsidR="007C28B3" w:rsidRDefault="00EC7079">
            <w:pPr>
              <w:pStyle w:val="TableParagraph"/>
              <w:ind w:left="105"/>
              <w:rPr>
                <w:sz w:val="18"/>
              </w:rPr>
            </w:pPr>
            <w:r>
              <w:rPr>
                <w:sz w:val="18"/>
              </w:rPr>
              <w:t>Center</w:t>
            </w:r>
          </w:p>
        </w:tc>
      </w:tr>
      <w:tr w:rsidR="007C28B3">
        <w:trPr>
          <w:trHeight w:hRule="exact" w:val="230"/>
        </w:trPr>
        <w:tc>
          <w:tcPr>
            <w:tcW w:w="4607" w:type="dxa"/>
          </w:tcPr>
          <w:p w:rsidR="007C28B3" w:rsidRDefault="00EC7079">
            <w:pPr>
              <w:pStyle w:val="TableParagraph"/>
              <w:rPr>
                <w:sz w:val="18"/>
              </w:rPr>
            </w:pPr>
            <w:r>
              <w:rPr>
                <w:sz w:val="18"/>
              </w:rPr>
              <w:t>Globalisation / privatisation / realise</w:t>
            </w:r>
          </w:p>
        </w:tc>
        <w:tc>
          <w:tcPr>
            <w:tcW w:w="4607" w:type="dxa"/>
          </w:tcPr>
          <w:p w:rsidR="007C28B3" w:rsidRDefault="00EC7079">
            <w:pPr>
              <w:pStyle w:val="TableParagraph"/>
              <w:ind w:left="105"/>
              <w:rPr>
                <w:sz w:val="18"/>
              </w:rPr>
            </w:pPr>
            <w:r>
              <w:rPr>
                <w:sz w:val="18"/>
              </w:rPr>
              <w:t>Globalization / privatization / realize</w:t>
            </w:r>
          </w:p>
        </w:tc>
      </w:tr>
    </w:tbl>
    <w:p w:rsidR="007C28B3" w:rsidRDefault="007C28B3">
      <w:pPr>
        <w:pStyle w:val="Plattetekst"/>
        <w:spacing w:before="6"/>
        <w:rPr>
          <w:sz w:val="12"/>
        </w:rPr>
      </w:pPr>
    </w:p>
    <w:p w:rsidR="007C28B3" w:rsidRDefault="00EC7079">
      <w:pPr>
        <w:pStyle w:val="Plattetekst"/>
        <w:spacing w:before="68"/>
        <w:ind w:left="216" w:right="1491"/>
      </w:pPr>
      <w:r>
        <w:t xml:space="preserve">There are many websites with information on differences in vocabulary, for example: </w:t>
      </w:r>
      <w:hyperlink r:id="rId14">
        <w:r>
          <w:rPr>
            <w:color w:val="0000FF"/>
            <w:u w:val="single" w:color="0000FF"/>
          </w:rPr>
          <w:t>https://www.englishclub.com/vocabulary/british-american.htm</w:t>
        </w:r>
      </w:hyperlink>
      <w:r>
        <w:rPr>
          <w:color w:val="0000FF"/>
          <w:u w:val="single" w:color="0000FF"/>
        </w:rPr>
        <w:t xml:space="preserve"> </w:t>
      </w:r>
      <w:hyperlink r:id="rId15">
        <w:r>
          <w:rPr>
            <w:color w:val="0000FF"/>
            <w:u w:val="single" w:color="0000FF"/>
          </w:rPr>
          <w:t>http://www.studyenglishtoday.net/british-american-english.html</w:t>
        </w:r>
      </w:hyperlink>
    </w:p>
    <w:p w:rsidR="007C28B3" w:rsidRDefault="007C28B3">
      <w:pPr>
        <w:pStyle w:val="Plattetekst"/>
        <w:spacing w:before="4"/>
        <w:rPr>
          <w:sz w:val="12"/>
        </w:rPr>
      </w:pPr>
    </w:p>
    <w:p w:rsidR="007C28B3" w:rsidRDefault="00EC7079">
      <w:pPr>
        <w:pStyle w:val="Plattetekst"/>
        <w:spacing w:before="69"/>
        <w:ind w:left="216" w:right="578"/>
      </w:pPr>
      <w:r>
        <w:t xml:space="preserve">For general info on grammar: </w:t>
      </w:r>
      <w:hyperlink r:id="rId16">
        <w:r>
          <w:rPr>
            <w:color w:val="0000FF"/>
            <w:u w:val="single" w:color="0000FF"/>
          </w:rPr>
          <w:t>www.grammarbook.com</w:t>
        </w:r>
      </w:hyperlink>
    </w:p>
    <w:p w:rsidR="007C28B3" w:rsidRDefault="007C28B3">
      <w:pPr>
        <w:pStyle w:val="Plattetekst"/>
        <w:rPr>
          <w:sz w:val="20"/>
        </w:rPr>
      </w:pPr>
    </w:p>
    <w:p w:rsidR="007C28B3" w:rsidRDefault="007C28B3">
      <w:pPr>
        <w:pStyle w:val="Plattetekst"/>
        <w:spacing w:before="1"/>
        <w:rPr>
          <w:sz w:val="16"/>
        </w:rPr>
      </w:pPr>
    </w:p>
    <w:p w:rsidR="007C28B3" w:rsidRDefault="00EC7079">
      <w:pPr>
        <w:pStyle w:val="Kop4"/>
        <w:ind w:left="216" w:right="578"/>
      </w:pPr>
      <w:r>
        <w:t>Abbreviations and acronyms</w:t>
      </w:r>
    </w:p>
    <w:p w:rsidR="007C28B3" w:rsidRDefault="00EC7079">
      <w:pPr>
        <w:pStyle w:val="Lijstalinea"/>
        <w:numPr>
          <w:ilvl w:val="0"/>
          <w:numId w:val="11"/>
        </w:numPr>
        <w:tabs>
          <w:tab w:val="left" w:pos="936"/>
          <w:tab w:val="left" w:pos="937"/>
        </w:tabs>
        <w:ind w:right="881" w:hanging="348"/>
        <w:rPr>
          <w:sz w:val="18"/>
        </w:rPr>
      </w:pPr>
      <w:r>
        <w:rPr>
          <w:sz w:val="18"/>
        </w:rPr>
        <w:t>No space between initials in personal names and separate each letter with a period: for example: R.A. Jones, W.B.</w:t>
      </w:r>
      <w:r>
        <w:rPr>
          <w:spacing w:val="-13"/>
          <w:sz w:val="18"/>
        </w:rPr>
        <w:t xml:space="preserve"> </w:t>
      </w:r>
      <w:r>
        <w:rPr>
          <w:sz w:val="18"/>
        </w:rPr>
        <w:t>James;</w:t>
      </w:r>
    </w:p>
    <w:p w:rsidR="007C28B3" w:rsidRDefault="00EC7079">
      <w:pPr>
        <w:pStyle w:val="Lijstalinea"/>
        <w:numPr>
          <w:ilvl w:val="0"/>
          <w:numId w:val="11"/>
        </w:numPr>
        <w:tabs>
          <w:tab w:val="left" w:pos="936"/>
          <w:tab w:val="left" w:pos="937"/>
        </w:tabs>
        <w:ind w:right="427" w:hanging="348"/>
        <w:rPr>
          <w:sz w:val="18"/>
        </w:rPr>
      </w:pPr>
      <w:r>
        <w:rPr>
          <w:sz w:val="18"/>
        </w:rPr>
        <w:t>Do not use periods in professional degrees, which should have no space between letters: for example: PhD, MA, DPhil,</w:t>
      </w:r>
      <w:r>
        <w:rPr>
          <w:spacing w:val="-14"/>
          <w:sz w:val="18"/>
        </w:rPr>
        <w:t xml:space="preserve"> </w:t>
      </w:r>
      <w:r>
        <w:rPr>
          <w:sz w:val="18"/>
        </w:rPr>
        <w:t>BSc</w:t>
      </w:r>
    </w:p>
    <w:p w:rsidR="007C28B3" w:rsidRDefault="007C28B3">
      <w:pPr>
        <w:pStyle w:val="Plattetekst"/>
        <w:spacing w:before="1"/>
      </w:pPr>
    </w:p>
    <w:p w:rsidR="007C28B3" w:rsidRDefault="00EC7079">
      <w:pPr>
        <w:pStyle w:val="Lijstalinea"/>
        <w:numPr>
          <w:ilvl w:val="0"/>
          <w:numId w:val="11"/>
        </w:numPr>
        <w:tabs>
          <w:tab w:val="left" w:pos="936"/>
          <w:tab w:val="left" w:pos="937"/>
        </w:tabs>
        <w:ind w:right="301" w:hanging="348"/>
        <w:rPr>
          <w:sz w:val="18"/>
        </w:rPr>
      </w:pPr>
      <w:r>
        <w:rPr>
          <w:sz w:val="18"/>
        </w:rPr>
        <w:t>Spell out all acronyms on the first reference and thereafter use large caps and no periods: for example: European Union (EU), thereafter:</w:t>
      </w:r>
      <w:r>
        <w:rPr>
          <w:spacing w:val="-21"/>
          <w:sz w:val="18"/>
        </w:rPr>
        <w:t xml:space="preserve"> </w:t>
      </w:r>
      <w:r>
        <w:rPr>
          <w:sz w:val="18"/>
        </w:rPr>
        <w:t>EU.</w:t>
      </w:r>
    </w:p>
    <w:p w:rsidR="007C28B3" w:rsidRDefault="00EC7079">
      <w:pPr>
        <w:pStyle w:val="Lijstalinea"/>
        <w:numPr>
          <w:ilvl w:val="0"/>
          <w:numId w:val="11"/>
        </w:numPr>
        <w:tabs>
          <w:tab w:val="left" w:pos="936"/>
          <w:tab w:val="left" w:pos="937"/>
        </w:tabs>
        <w:spacing w:line="218" w:lineRule="exact"/>
        <w:ind w:left="936"/>
        <w:rPr>
          <w:sz w:val="18"/>
        </w:rPr>
      </w:pPr>
      <w:r>
        <w:rPr>
          <w:sz w:val="18"/>
        </w:rPr>
        <w:t>Do not spell out USA, UK and UN on the first</w:t>
      </w:r>
      <w:r>
        <w:rPr>
          <w:spacing w:val="-20"/>
          <w:sz w:val="18"/>
        </w:rPr>
        <w:t xml:space="preserve"> </w:t>
      </w:r>
      <w:r>
        <w:rPr>
          <w:sz w:val="18"/>
        </w:rPr>
        <w:t>reference.</w:t>
      </w:r>
    </w:p>
    <w:p w:rsidR="007C28B3" w:rsidRDefault="007C28B3">
      <w:pPr>
        <w:pStyle w:val="Plattetekst"/>
        <w:spacing w:before="11"/>
        <w:rPr>
          <w:sz w:val="17"/>
        </w:rPr>
      </w:pPr>
    </w:p>
    <w:p w:rsidR="007C28B3" w:rsidRDefault="00EC7079">
      <w:pPr>
        <w:pStyle w:val="Lijstalinea"/>
        <w:numPr>
          <w:ilvl w:val="0"/>
          <w:numId w:val="11"/>
        </w:numPr>
        <w:tabs>
          <w:tab w:val="left" w:pos="936"/>
          <w:tab w:val="left" w:pos="937"/>
        </w:tabs>
        <w:spacing w:line="242" w:lineRule="auto"/>
        <w:ind w:right="3452" w:hanging="348"/>
        <w:rPr>
          <w:sz w:val="18"/>
        </w:rPr>
      </w:pPr>
      <w:r>
        <w:rPr>
          <w:sz w:val="18"/>
        </w:rPr>
        <w:t>Do not use apostrophes in the plural form of acronyms: MPs, PCBs, TCs,</w:t>
      </w:r>
      <w:r>
        <w:rPr>
          <w:spacing w:val="-9"/>
          <w:sz w:val="18"/>
        </w:rPr>
        <w:t xml:space="preserve"> </w:t>
      </w:r>
      <w:r>
        <w:rPr>
          <w:sz w:val="18"/>
        </w:rPr>
        <w:t>NGOs</w:t>
      </w:r>
    </w:p>
    <w:p w:rsidR="007C28B3" w:rsidRDefault="007C28B3">
      <w:pPr>
        <w:pStyle w:val="Plattetekst"/>
        <w:spacing w:before="9"/>
        <w:rPr>
          <w:sz w:val="17"/>
        </w:rPr>
      </w:pPr>
    </w:p>
    <w:p w:rsidR="007C28B3" w:rsidRDefault="00EC7079">
      <w:pPr>
        <w:pStyle w:val="Lijstalinea"/>
        <w:numPr>
          <w:ilvl w:val="0"/>
          <w:numId w:val="11"/>
        </w:numPr>
        <w:tabs>
          <w:tab w:val="left" w:pos="936"/>
          <w:tab w:val="left" w:pos="937"/>
        </w:tabs>
        <w:ind w:right="3632" w:hanging="348"/>
        <w:rPr>
          <w:sz w:val="18"/>
        </w:rPr>
      </w:pPr>
      <w:r>
        <w:rPr>
          <w:sz w:val="18"/>
        </w:rPr>
        <w:t>Possessive forms of acronyms require an apostrophe: The EU’s foreign policy is topic of</w:t>
      </w:r>
      <w:r>
        <w:rPr>
          <w:spacing w:val="-15"/>
          <w:sz w:val="18"/>
        </w:rPr>
        <w:t xml:space="preserve"> </w:t>
      </w:r>
      <w:r>
        <w:rPr>
          <w:sz w:val="18"/>
        </w:rPr>
        <w:t>debate.</w:t>
      </w:r>
    </w:p>
    <w:p w:rsidR="007C28B3" w:rsidRDefault="007C28B3">
      <w:pPr>
        <w:pStyle w:val="Plattetekst"/>
        <w:spacing w:before="11"/>
        <w:rPr>
          <w:sz w:val="17"/>
        </w:rPr>
      </w:pPr>
    </w:p>
    <w:p w:rsidR="007C28B3" w:rsidRDefault="00EC7079">
      <w:pPr>
        <w:pStyle w:val="Lijstalinea"/>
        <w:numPr>
          <w:ilvl w:val="0"/>
          <w:numId w:val="11"/>
        </w:numPr>
        <w:tabs>
          <w:tab w:val="left" w:pos="936"/>
          <w:tab w:val="left" w:pos="937"/>
        </w:tabs>
        <w:ind w:left="936" w:right="324"/>
        <w:rPr>
          <w:sz w:val="18"/>
        </w:rPr>
      </w:pPr>
      <w:r>
        <w:rPr>
          <w:sz w:val="18"/>
        </w:rPr>
        <w:t>Use i.e. and e.g. punctuated with periods and followed by commas within parentheses</w:t>
      </w:r>
      <w:r>
        <w:rPr>
          <w:spacing w:val="-40"/>
          <w:sz w:val="18"/>
        </w:rPr>
        <w:t xml:space="preserve"> </w:t>
      </w:r>
      <w:r>
        <w:rPr>
          <w:sz w:val="18"/>
        </w:rPr>
        <w:t>but ‘for example,’ in the</w:t>
      </w:r>
      <w:r>
        <w:rPr>
          <w:spacing w:val="-13"/>
          <w:sz w:val="18"/>
        </w:rPr>
        <w:t xml:space="preserve"> </w:t>
      </w:r>
      <w:r>
        <w:rPr>
          <w:sz w:val="18"/>
        </w:rPr>
        <w:t>text.</w:t>
      </w:r>
    </w:p>
    <w:p w:rsidR="007C28B3" w:rsidRDefault="00EC7079">
      <w:pPr>
        <w:pStyle w:val="Plattetekst"/>
        <w:spacing w:before="2" w:line="219" w:lineRule="exact"/>
        <w:ind w:left="953" w:right="578"/>
      </w:pPr>
      <w:r>
        <w:t>For example:</w:t>
      </w:r>
    </w:p>
    <w:p w:rsidR="007C28B3" w:rsidRDefault="00EC7079">
      <w:pPr>
        <w:pStyle w:val="Plattetekst"/>
        <w:ind w:left="924" w:right="578"/>
      </w:pPr>
      <w:r>
        <w:t>Many countries in Western Europe (e.g., Germany, France and Spain) are still suffering because of the economic crisis.</w:t>
      </w:r>
    </w:p>
    <w:p w:rsidR="007C28B3" w:rsidRDefault="00EC7079">
      <w:pPr>
        <w:pStyle w:val="Plattetekst"/>
        <w:ind w:left="890" w:right="806" w:firstLine="33"/>
      </w:pPr>
      <w:r>
        <w:t>Many countries in Western Europe, for example Germany, France and Spain, are still suffering because of the economic crisis.</w:t>
      </w:r>
    </w:p>
    <w:p w:rsidR="007C28B3" w:rsidRDefault="007C28B3">
      <w:pPr>
        <w:pStyle w:val="Plattetekst"/>
        <w:spacing w:before="11"/>
        <w:rPr>
          <w:sz w:val="17"/>
        </w:rPr>
      </w:pPr>
    </w:p>
    <w:p w:rsidR="007C28B3" w:rsidRDefault="00EC7079">
      <w:pPr>
        <w:pStyle w:val="Plattetekst"/>
        <w:ind w:left="216" w:right="578"/>
      </w:pPr>
      <w:r>
        <w:t xml:space="preserve">For more info: </w:t>
      </w:r>
      <w:hyperlink r:id="rId17">
        <w:r>
          <w:rPr>
            <w:color w:val="0000FF"/>
            <w:u w:val="single" w:color="0000FF"/>
          </w:rPr>
          <w:t>http://grammar.ccc.commnet.edu/grammar/abbreviations.htm</w:t>
        </w:r>
      </w:hyperlink>
    </w:p>
    <w:p w:rsidR="007C28B3" w:rsidRDefault="007C28B3">
      <w:pPr>
        <w:pStyle w:val="Plattetekst"/>
        <w:rPr>
          <w:sz w:val="20"/>
        </w:rPr>
      </w:pPr>
    </w:p>
    <w:p w:rsidR="007C28B3" w:rsidRDefault="007C28B3">
      <w:pPr>
        <w:pStyle w:val="Plattetekst"/>
        <w:spacing w:before="1"/>
        <w:rPr>
          <w:sz w:val="16"/>
        </w:rPr>
      </w:pPr>
    </w:p>
    <w:p w:rsidR="007C28B3" w:rsidRDefault="00EC7079">
      <w:pPr>
        <w:pStyle w:val="Kop4"/>
        <w:ind w:left="216" w:right="578"/>
      </w:pPr>
      <w:r>
        <w:t>Hyphenations</w:t>
      </w:r>
    </w:p>
    <w:p w:rsidR="007C28B3" w:rsidRDefault="00EC7079">
      <w:pPr>
        <w:pStyle w:val="Plattetekst"/>
        <w:ind w:left="216" w:right="578"/>
      </w:pPr>
      <w:r>
        <w:t>As a general rule, Clingendael follows a closed (no-hyphen) style.</w:t>
      </w:r>
    </w:p>
    <w:p w:rsidR="007C28B3" w:rsidRDefault="007C28B3">
      <w:pPr>
        <w:pStyle w:val="Plattetekst"/>
        <w:spacing w:before="12"/>
        <w:rPr>
          <w:sz w:val="17"/>
        </w:rPr>
      </w:pPr>
    </w:p>
    <w:p w:rsidR="007C28B3" w:rsidRDefault="00EC7079">
      <w:pPr>
        <w:pStyle w:val="Plattetekst"/>
        <w:ind w:left="216" w:right="795"/>
      </w:pPr>
      <w:r>
        <w:t>Not hyphenated: intergovernmental, nongovernmental, multinational, subsystem, subgroup, subsample, prewar, postconflict, turnout, postindustrial, semiskilled, crosstabulation, socioeconomic, psychosocial, peacebuilding*, statebuilding*, etc.</w:t>
      </w:r>
    </w:p>
    <w:p w:rsidR="007C28B3" w:rsidRDefault="007C28B3">
      <w:pPr>
        <w:pStyle w:val="Plattetekst"/>
        <w:spacing w:before="11"/>
        <w:rPr>
          <w:sz w:val="17"/>
        </w:rPr>
      </w:pPr>
    </w:p>
    <w:p w:rsidR="007C28B3" w:rsidRDefault="00EC7079">
      <w:pPr>
        <w:pStyle w:val="Plattetekst"/>
        <w:ind w:left="216" w:right="442"/>
      </w:pPr>
      <w:r>
        <w:t>* peacebuilding and statebuilding can also be found written as peace building / state building, or peace-building / state-building, but the one-word-version is the most commonly used.</w:t>
      </w:r>
    </w:p>
    <w:p w:rsidR="007C28B3" w:rsidRDefault="007C28B3">
      <w:pPr>
        <w:pStyle w:val="Plattetekst"/>
        <w:spacing w:before="11"/>
        <w:rPr>
          <w:sz w:val="17"/>
        </w:rPr>
      </w:pPr>
    </w:p>
    <w:p w:rsidR="007C28B3" w:rsidRDefault="00EC7079">
      <w:pPr>
        <w:pStyle w:val="Plattetekst"/>
        <w:spacing w:line="242" w:lineRule="auto"/>
        <w:ind w:left="216" w:right="225"/>
      </w:pPr>
      <w:r>
        <w:t>No hyphenation is used in: policy maker, policy making, decision maker and decision making when used as nouns.</w:t>
      </w:r>
    </w:p>
    <w:p w:rsidR="007C28B3" w:rsidRDefault="00EC7079">
      <w:pPr>
        <w:pStyle w:val="Plattetekst"/>
        <w:spacing w:line="216" w:lineRule="exact"/>
        <w:ind w:left="216" w:right="578"/>
      </w:pPr>
      <w:r>
        <w:t>It does hyphenate adjectival forms, such as ‘policy-making (decision-making) process.’</w:t>
      </w:r>
    </w:p>
    <w:p w:rsidR="007C28B3" w:rsidRDefault="007C28B3">
      <w:pPr>
        <w:spacing w:line="216" w:lineRule="exact"/>
        <w:sectPr w:rsidR="007C28B3">
          <w:pgSz w:w="11910" w:h="16840"/>
          <w:pgMar w:top="1360" w:right="1260" w:bottom="1200" w:left="1200" w:header="0" w:footer="1003" w:gutter="0"/>
          <w:cols w:space="708"/>
        </w:sectPr>
      </w:pPr>
    </w:p>
    <w:p w:rsidR="007C28B3" w:rsidRDefault="00EC7079">
      <w:pPr>
        <w:pStyle w:val="Plattetekst"/>
        <w:spacing w:before="39"/>
        <w:ind w:left="116" w:right="855"/>
      </w:pPr>
      <w:r>
        <w:lastRenderedPageBreak/>
        <w:t>In general, hyphenate:</w:t>
      </w:r>
    </w:p>
    <w:p w:rsidR="007C28B3" w:rsidRDefault="00EC7079">
      <w:pPr>
        <w:pStyle w:val="Lijstalinea"/>
        <w:numPr>
          <w:ilvl w:val="0"/>
          <w:numId w:val="10"/>
        </w:numPr>
        <w:tabs>
          <w:tab w:val="left" w:pos="369"/>
        </w:tabs>
        <w:spacing w:before="2"/>
        <w:rPr>
          <w:sz w:val="18"/>
        </w:rPr>
      </w:pPr>
      <w:r>
        <w:rPr>
          <w:sz w:val="18"/>
        </w:rPr>
        <w:t>Fractions and numbers above nine and at the beginning of a</w:t>
      </w:r>
      <w:r>
        <w:rPr>
          <w:spacing w:val="-28"/>
          <w:sz w:val="18"/>
        </w:rPr>
        <w:t xml:space="preserve"> </w:t>
      </w:r>
      <w:r>
        <w:rPr>
          <w:sz w:val="18"/>
        </w:rPr>
        <w:t>sentence.</w:t>
      </w:r>
    </w:p>
    <w:p w:rsidR="007C28B3" w:rsidRDefault="00EC7079">
      <w:pPr>
        <w:pStyle w:val="Plattetekst"/>
        <w:ind w:left="368" w:right="855"/>
      </w:pPr>
      <w:r>
        <w:t>For example: two-thirds, one-half; Seventy-nine people</w:t>
      </w:r>
    </w:p>
    <w:p w:rsidR="007C28B3" w:rsidRDefault="007C28B3">
      <w:pPr>
        <w:pStyle w:val="Plattetekst"/>
        <w:spacing w:before="11"/>
        <w:rPr>
          <w:sz w:val="17"/>
        </w:rPr>
      </w:pPr>
    </w:p>
    <w:p w:rsidR="007C28B3" w:rsidRDefault="00EC7079">
      <w:pPr>
        <w:pStyle w:val="Lijstalinea"/>
        <w:numPr>
          <w:ilvl w:val="0"/>
          <w:numId w:val="10"/>
        </w:numPr>
        <w:tabs>
          <w:tab w:val="left" w:pos="374"/>
        </w:tabs>
        <w:spacing w:line="219" w:lineRule="exact"/>
        <w:ind w:left="373" w:hanging="257"/>
        <w:rPr>
          <w:sz w:val="18"/>
        </w:rPr>
      </w:pPr>
      <w:r>
        <w:rPr>
          <w:sz w:val="18"/>
        </w:rPr>
        <w:t>Measurements used as adjectives preceding a</w:t>
      </w:r>
      <w:r>
        <w:rPr>
          <w:spacing w:val="-21"/>
          <w:sz w:val="18"/>
        </w:rPr>
        <w:t xml:space="preserve"> </w:t>
      </w:r>
      <w:r>
        <w:rPr>
          <w:sz w:val="18"/>
        </w:rPr>
        <w:t>noun.</w:t>
      </w:r>
    </w:p>
    <w:p w:rsidR="007C28B3" w:rsidRDefault="00EC7079">
      <w:pPr>
        <w:pStyle w:val="Plattetekst"/>
        <w:ind w:left="368" w:right="855"/>
      </w:pPr>
      <w:r>
        <w:t>For example: a four-mile run, a 15-ml test tube</w:t>
      </w:r>
    </w:p>
    <w:p w:rsidR="007C28B3" w:rsidRDefault="007C28B3">
      <w:pPr>
        <w:pStyle w:val="Plattetekst"/>
        <w:spacing w:before="11"/>
        <w:rPr>
          <w:sz w:val="17"/>
        </w:rPr>
      </w:pPr>
    </w:p>
    <w:p w:rsidR="007C28B3" w:rsidRDefault="00EC7079">
      <w:pPr>
        <w:pStyle w:val="Lijstalinea"/>
        <w:numPr>
          <w:ilvl w:val="0"/>
          <w:numId w:val="10"/>
        </w:numPr>
        <w:tabs>
          <w:tab w:val="left" w:pos="355"/>
        </w:tabs>
        <w:ind w:left="354" w:hanging="238"/>
        <w:rPr>
          <w:sz w:val="18"/>
        </w:rPr>
      </w:pPr>
      <w:r>
        <w:rPr>
          <w:sz w:val="18"/>
        </w:rPr>
        <w:t>To avoid</w:t>
      </w:r>
      <w:r>
        <w:rPr>
          <w:spacing w:val="-8"/>
          <w:sz w:val="18"/>
        </w:rPr>
        <w:t xml:space="preserve"> </w:t>
      </w:r>
      <w:r>
        <w:rPr>
          <w:sz w:val="18"/>
        </w:rPr>
        <w:t>ambiguity.</w:t>
      </w:r>
    </w:p>
    <w:p w:rsidR="007C28B3" w:rsidRDefault="00EC7079">
      <w:pPr>
        <w:pStyle w:val="Plattetekst"/>
        <w:spacing w:before="2"/>
        <w:ind w:left="368" w:right="855"/>
      </w:pPr>
      <w:r>
        <w:t>For example: a canned meat-and-vegetable dish; a canned-meat and vegetable dish</w:t>
      </w:r>
    </w:p>
    <w:p w:rsidR="007C28B3" w:rsidRDefault="007C28B3">
      <w:pPr>
        <w:pStyle w:val="Plattetekst"/>
        <w:spacing w:before="11"/>
        <w:rPr>
          <w:sz w:val="17"/>
        </w:rPr>
      </w:pPr>
    </w:p>
    <w:p w:rsidR="007C28B3" w:rsidRDefault="00EC7079">
      <w:pPr>
        <w:pStyle w:val="Lijstalinea"/>
        <w:numPr>
          <w:ilvl w:val="0"/>
          <w:numId w:val="10"/>
        </w:numPr>
        <w:tabs>
          <w:tab w:val="left" w:pos="374"/>
        </w:tabs>
        <w:ind w:left="373" w:hanging="257"/>
        <w:rPr>
          <w:sz w:val="18"/>
        </w:rPr>
      </w:pPr>
      <w:r>
        <w:rPr>
          <w:sz w:val="18"/>
        </w:rPr>
        <w:t>Compounds, prefixes and suffixes. For example: mid-June, president-elect,</w:t>
      </w:r>
      <w:r>
        <w:rPr>
          <w:spacing w:val="-30"/>
          <w:sz w:val="18"/>
        </w:rPr>
        <w:t xml:space="preserve"> </w:t>
      </w:r>
      <w:r>
        <w:rPr>
          <w:sz w:val="18"/>
        </w:rPr>
        <w:t>ex-dictator.</w:t>
      </w:r>
    </w:p>
    <w:p w:rsidR="007C28B3" w:rsidRDefault="007C28B3">
      <w:pPr>
        <w:pStyle w:val="Plattetekst"/>
        <w:spacing w:before="11"/>
        <w:rPr>
          <w:sz w:val="17"/>
        </w:rPr>
      </w:pPr>
    </w:p>
    <w:p w:rsidR="007C28B3" w:rsidRDefault="00EC7079">
      <w:pPr>
        <w:pStyle w:val="Plattetekst"/>
        <w:ind w:left="116" w:right="855"/>
      </w:pPr>
      <w:r>
        <w:t xml:space="preserve">More info: </w:t>
      </w:r>
      <w:hyperlink r:id="rId18">
        <w:r>
          <w:rPr>
            <w:color w:val="0000FF"/>
            <w:u w:val="single" w:color="0000FF"/>
          </w:rPr>
          <w:t>http://www.grammarbook.com/punctuation/hyphens.asp</w:t>
        </w:r>
      </w:hyperlink>
    </w:p>
    <w:p w:rsidR="007C28B3" w:rsidRDefault="007C28B3">
      <w:pPr>
        <w:pStyle w:val="Plattetekst"/>
        <w:rPr>
          <w:sz w:val="20"/>
        </w:rPr>
      </w:pPr>
    </w:p>
    <w:p w:rsidR="007C28B3" w:rsidRDefault="007C28B3">
      <w:pPr>
        <w:pStyle w:val="Plattetekst"/>
        <w:spacing w:before="1"/>
        <w:rPr>
          <w:sz w:val="16"/>
        </w:rPr>
      </w:pPr>
    </w:p>
    <w:p w:rsidR="007C28B3" w:rsidRDefault="00EC7079">
      <w:pPr>
        <w:pStyle w:val="Kop4"/>
        <w:ind w:right="855"/>
      </w:pPr>
      <w:r>
        <w:t>Quotations</w:t>
      </w:r>
    </w:p>
    <w:p w:rsidR="007C28B3" w:rsidRDefault="00EC7079">
      <w:pPr>
        <w:pStyle w:val="Lijstalinea"/>
        <w:numPr>
          <w:ilvl w:val="1"/>
          <w:numId w:val="10"/>
        </w:numPr>
        <w:tabs>
          <w:tab w:val="left" w:pos="836"/>
          <w:tab w:val="left" w:pos="837"/>
        </w:tabs>
        <w:spacing w:line="218" w:lineRule="exact"/>
        <w:rPr>
          <w:sz w:val="18"/>
        </w:rPr>
      </w:pPr>
      <w:r>
        <w:rPr>
          <w:sz w:val="18"/>
        </w:rPr>
        <w:t>Short quotations should be incorporated into the text and are not</w:t>
      </w:r>
      <w:r>
        <w:rPr>
          <w:spacing w:val="-39"/>
          <w:sz w:val="18"/>
        </w:rPr>
        <w:t xml:space="preserve"> </w:t>
      </w:r>
      <w:r>
        <w:rPr>
          <w:sz w:val="18"/>
        </w:rPr>
        <w:t>indented;</w:t>
      </w:r>
    </w:p>
    <w:p w:rsidR="007C28B3" w:rsidRDefault="00EC7079">
      <w:pPr>
        <w:pStyle w:val="Lijstalinea"/>
        <w:numPr>
          <w:ilvl w:val="1"/>
          <w:numId w:val="10"/>
        </w:numPr>
        <w:tabs>
          <w:tab w:val="left" w:pos="836"/>
          <w:tab w:val="left" w:pos="837"/>
        </w:tabs>
        <w:ind w:right="99"/>
        <w:rPr>
          <w:b/>
          <w:sz w:val="18"/>
        </w:rPr>
      </w:pPr>
      <w:r>
        <w:rPr>
          <w:sz w:val="18"/>
        </w:rPr>
        <w:t xml:space="preserve">A single inverted comma should be used at the beginning and end of the quote with double quotation marks used within the single if necessary. For example: ‘“We have been wished away,” states one ex-combatant.’ </w:t>
      </w:r>
      <w:r>
        <w:rPr>
          <w:b/>
          <w:sz w:val="18"/>
        </w:rPr>
        <w:t>(NB: there is no space between ’ and</w:t>
      </w:r>
      <w:r>
        <w:rPr>
          <w:b/>
          <w:spacing w:val="-29"/>
          <w:sz w:val="18"/>
        </w:rPr>
        <w:t xml:space="preserve"> </w:t>
      </w:r>
      <w:r>
        <w:rPr>
          <w:b/>
          <w:sz w:val="18"/>
        </w:rPr>
        <w:t>”.)</w:t>
      </w:r>
    </w:p>
    <w:p w:rsidR="007C28B3" w:rsidRDefault="00EC7079">
      <w:pPr>
        <w:pStyle w:val="Lijstalinea"/>
        <w:numPr>
          <w:ilvl w:val="1"/>
          <w:numId w:val="10"/>
        </w:numPr>
        <w:tabs>
          <w:tab w:val="left" w:pos="836"/>
          <w:tab w:val="left" w:pos="837"/>
        </w:tabs>
        <w:spacing w:line="242" w:lineRule="auto"/>
        <w:ind w:right="402"/>
        <w:rPr>
          <w:sz w:val="18"/>
        </w:rPr>
      </w:pPr>
      <w:r>
        <w:rPr>
          <w:sz w:val="18"/>
        </w:rPr>
        <w:t>In all cases, the original spelling and punctuation of the quotation should be reproduced exactly.</w:t>
      </w:r>
    </w:p>
    <w:p w:rsidR="007C28B3" w:rsidRDefault="00EC7079">
      <w:pPr>
        <w:pStyle w:val="Lijstalinea"/>
        <w:numPr>
          <w:ilvl w:val="1"/>
          <w:numId w:val="10"/>
        </w:numPr>
        <w:tabs>
          <w:tab w:val="left" w:pos="836"/>
          <w:tab w:val="left" w:pos="837"/>
        </w:tabs>
        <w:spacing w:before="4" w:line="218" w:lineRule="exact"/>
        <w:ind w:right="506"/>
        <w:rPr>
          <w:sz w:val="18"/>
        </w:rPr>
      </w:pPr>
      <w:r>
        <w:rPr>
          <w:sz w:val="18"/>
        </w:rPr>
        <w:t>Periods and commas sit inside quotation marks. For example: ‘Women’s silence can</w:t>
      </w:r>
      <w:r>
        <w:rPr>
          <w:spacing w:val="-36"/>
          <w:sz w:val="18"/>
        </w:rPr>
        <w:t xml:space="preserve"> </w:t>
      </w:r>
      <w:r>
        <w:rPr>
          <w:sz w:val="18"/>
        </w:rPr>
        <w:t>be recognized as</w:t>
      </w:r>
      <w:r>
        <w:rPr>
          <w:spacing w:val="-14"/>
          <w:sz w:val="18"/>
        </w:rPr>
        <w:t xml:space="preserve"> </w:t>
      </w:r>
      <w:r>
        <w:rPr>
          <w:sz w:val="18"/>
        </w:rPr>
        <w:t>meaningful.’</w:t>
      </w:r>
    </w:p>
    <w:p w:rsidR="007C28B3" w:rsidRDefault="00EC7079">
      <w:pPr>
        <w:pStyle w:val="Lijstalinea"/>
        <w:numPr>
          <w:ilvl w:val="1"/>
          <w:numId w:val="10"/>
        </w:numPr>
        <w:tabs>
          <w:tab w:val="left" w:pos="836"/>
          <w:tab w:val="left" w:pos="837"/>
        </w:tabs>
        <w:spacing w:line="218" w:lineRule="exact"/>
        <w:ind w:right="359"/>
        <w:rPr>
          <w:sz w:val="18"/>
        </w:rPr>
      </w:pPr>
      <w:r>
        <w:rPr>
          <w:sz w:val="18"/>
        </w:rPr>
        <w:t>Colons and semicolons sit outside quotation marks. For example: Williams described the experiment as ‘a definitive step forward’; other scientists</w:t>
      </w:r>
      <w:r>
        <w:rPr>
          <w:spacing w:val="-28"/>
          <w:sz w:val="18"/>
        </w:rPr>
        <w:t xml:space="preserve"> </w:t>
      </w:r>
      <w:r>
        <w:rPr>
          <w:sz w:val="18"/>
        </w:rPr>
        <w:t>disagreed.</w:t>
      </w:r>
    </w:p>
    <w:p w:rsidR="007C28B3" w:rsidRDefault="00EC7079">
      <w:pPr>
        <w:pStyle w:val="Lijstalinea"/>
        <w:numPr>
          <w:ilvl w:val="1"/>
          <w:numId w:val="10"/>
        </w:numPr>
        <w:tabs>
          <w:tab w:val="left" w:pos="837"/>
        </w:tabs>
        <w:ind w:right="257"/>
        <w:jc w:val="both"/>
        <w:rPr>
          <w:sz w:val="18"/>
        </w:rPr>
      </w:pPr>
      <w:r>
        <w:rPr>
          <w:sz w:val="18"/>
        </w:rPr>
        <w:t>Question and exclamation marks should sit outside quotation marks, unless they are part of the quotation. For example: She asked, ‘Why are you so upset?’ OR Why was Jennings trembling when he said, ‘I’m here to open an</w:t>
      </w:r>
      <w:r>
        <w:rPr>
          <w:spacing w:val="-27"/>
          <w:sz w:val="18"/>
        </w:rPr>
        <w:t xml:space="preserve"> </w:t>
      </w:r>
      <w:r>
        <w:rPr>
          <w:sz w:val="18"/>
        </w:rPr>
        <w:t>inquiry’?</w:t>
      </w:r>
    </w:p>
    <w:p w:rsidR="007C28B3" w:rsidRDefault="00EC7079">
      <w:pPr>
        <w:pStyle w:val="Lijstalinea"/>
        <w:numPr>
          <w:ilvl w:val="1"/>
          <w:numId w:val="10"/>
        </w:numPr>
        <w:tabs>
          <w:tab w:val="left" w:pos="836"/>
          <w:tab w:val="left" w:pos="837"/>
        </w:tabs>
        <w:spacing w:line="218" w:lineRule="exact"/>
        <w:rPr>
          <w:sz w:val="18"/>
        </w:rPr>
      </w:pPr>
      <w:r>
        <w:rPr>
          <w:sz w:val="18"/>
        </w:rPr>
        <w:t>A quote within a quote is written with single and double quotation</w:t>
      </w:r>
      <w:r>
        <w:rPr>
          <w:spacing w:val="-40"/>
          <w:sz w:val="18"/>
        </w:rPr>
        <w:t xml:space="preserve"> </w:t>
      </w:r>
      <w:r>
        <w:rPr>
          <w:sz w:val="18"/>
        </w:rPr>
        <w:t>marks:</w:t>
      </w:r>
    </w:p>
    <w:p w:rsidR="007C28B3" w:rsidRDefault="00EC7079">
      <w:pPr>
        <w:pStyle w:val="Plattetekst"/>
        <w:ind w:left="824" w:right="855"/>
      </w:pPr>
      <w:r>
        <w:t>For example: The president said: ‘During my inauguration ‘Long live the king!’ was shouted by some members of the audience.”</w:t>
      </w:r>
    </w:p>
    <w:p w:rsidR="007C28B3" w:rsidRDefault="007C28B3">
      <w:pPr>
        <w:pStyle w:val="Plattetekst"/>
        <w:spacing w:before="11"/>
        <w:rPr>
          <w:sz w:val="17"/>
        </w:rPr>
      </w:pPr>
    </w:p>
    <w:p w:rsidR="007C28B3" w:rsidRDefault="00EC7079">
      <w:pPr>
        <w:pStyle w:val="Plattetekst"/>
        <w:ind w:left="116" w:right="855"/>
      </w:pPr>
      <w:r>
        <w:t xml:space="preserve">More info: </w:t>
      </w:r>
      <w:hyperlink r:id="rId19">
        <w:r>
          <w:rPr>
            <w:color w:val="0000FF"/>
            <w:u w:val="single" w:color="0000FF"/>
          </w:rPr>
          <w:t>http://grammar.ccc.commnet.edu/grammar/marks/quotation.htm</w:t>
        </w:r>
      </w:hyperlink>
    </w:p>
    <w:p w:rsidR="007C28B3" w:rsidRDefault="007C28B3">
      <w:pPr>
        <w:pStyle w:val="Plattetekst"/>
        <w:rPr>
          <w:sz w:val="20"/>
        </w:rPr>
      </w:pPr>
    </w:p>
    <w:p w:rsidR="007C28B3" w:rsidRDefault="007C28B3">
      <w:pPr>
        <w:pStyle w:val="Plattetekst"/>
        <w:spacing w:before="1"/>
        <w:rPr>
          <w:sz w:val="16"/>
        </w:rPr>
      </w:pPr>
    </w:p>
    <w:p w:rsidR="007C28B3" w:rsidRDefault="00EC7079">
      <w:pPr>
        <w:pStyle w:val="Kop4"/>
        <w:spacing w:line="240" w:lineRule="auto"/>
        <w:ind w:right="855"/>
      </w:pPr>
      <w:r>
        <w:t>Punctuations</w:t>
      </w:r>
    </w:p>
    <w:p w:rsidR="007C28B3" w:rsidRDefault="00EC7079">
      <w:pPr>
        <w:pStyle w:val="Lijstalinea"/>
        <w:numPr>
          <w:ilvl w:val="0"/>
          <w:numId w:val="9"/>
        </w:numPr>
        <w:tabs>
          <w:tab w:val="left" w:pos="836"/>
          <w:tab w:val="left" w:pos="837"/>
        </w:tabs>
        <w:spacing w:line="219" w:lineRule="exact"/>
        <w:ind w:hanging="314"/>
        <w:rPr>
          <w:sz w:val="18"/>
        </w:rPr>
      </w:pPr>
      <w:r>
        <w:rPr>
          <w:sz w:val="18"/>
        </w:rPr>
        <w:t xml:space="preserve">Punctuation points should be followed by a </w:t>
      </w:r>
      <w:r>
        <w:rPr>
          <w:b/>
          <w:sz w:val="18"/>
        </w:rPr>
        <w:t>single</w:t>
      </w:r>
      <w:r>
        <w:rPr>
          <w:b/>
          <w:spacing w:val="-24"/>
          <w:sz w:val="18"/>
        </w:rPr>
        <w:t xml:space="preserve"> </w:t>
      </w:r>
      <w:r>
        <w:rPr>
          <w:sz w:val="18"/>
        </w:rPr>
        <w:t>space:</w:t>
      </w:r>
    </w:p>
    <w:p w:rsidR="007C28B3" w:rsidRDefault="00EC7079">
      <w:pPr>
        <w:pStyle w:val="Plattetekst"/>
        <w:ind w:left="824" w:right="332"/>
      </w:pPr>
      <w:r>
        <w:t>for example: The crisis mostly affects women and children. They have no alternative.</w:t>
      </w:r>
    </w:p>
    <w:p w:rsidR="007C28B3" w:rsidRDefault="007C28B3">
      <w:pPr>
        <w:pStyle w:val="Plattetekst"/>
        <w:spacing w:before="11"/>
        <w:rPr>
          <w:sz w:val="17"/>
        </w:rPr>
      </w:pPr>
    </w:p>
    <w:p w:rsidR="007C28B3" w:rsidRDefault="00EC7079">
      <w:pPr>
        <w:pStyle w:val="Lijstalinea"/>
        <w:numPr>
          <w:ilvl w:val="0"/>
          <w:numId w:val="9"/>
        </w:numPr>
        <w:tabs>
          <w:tab w:val="left" w:pos="836"/>
          <w:tab w:val="left" w:pos="837"/>
        </w:tabs>
        <w:ind w:left="836"/>
        <w:rPr>
          <w:sz w:val="18"/>
        </w:rPr>
      </w:pPr>
      <w:r>
        <w:rPr>
          <w:sz w:val="18"/>
        </w:rPr>
        <w:t xml:space="preserve">The </w:t>
      </w:r>
      <w:r>
        <w:rPr>
          <w:b/>
          <w:sz w:val="18"/>
        </w:rPr>
        <w:t xml:space="preserve">serial comma </w:t>
      </w:r>
      <w:r>
        <w:rPr>
          <w:sz w:val="18"/>
        </w:rPr>
        <w:t>is not</w:t>
      </w:r>
      <w:r>
        <w:rPr>
          <w:spacing w:val="-8"/>
          <w:sz w:val="18"/>
        </w:rPr>
        <w:t xml:space="preserve"> </w:t>
      </w:r>
      <w:r>
        <w:rPr>
          <w:sz w:val="18"/>
        </w:rPr>
        <w:t>used:</w:t>
      </w:r>
    </w:p>
    <w:p w:rsidR="007C28B3" w:rsidRDefault="00EC7079">
      <w:pPr>
        <w:pStyle w:val="Plattetekst"/>
        <w:spacing w:before="2"/>
        <w:ind w:left="855" w:right="332"/>
      </w:pPr>
      <w:r>
        <w:t>for example: milk, cheese and oil. Not: milk, cheese</w:t>
      </w:r>
      <w:r>
        <w:rPr>
          <w:b/>
        </w:rPr>
        <w:t xml:space="preserve">, and </w:t>
      </w:r>
      <w:r>
        <w:t>oil. (No comma before ‘and’).</w:t>
      </w:r>
    </w:p>
    <w:p w:rsidR="007C28B3" w:rsidRDefault="007C28B3">
      <w:pPr>
        <w:pStyle w:val="Plattetekst"/>
        <w:spacing w:before="11"/>
        <w:rPr>
          <w:sz w:val="17"/>
        </w:rPr>
      </w:pPr>
    </w:p>
    <w:p w:rsidR="007C28B3" w:rsidRDefault="00EC7079">
      <w:pPr>
        <w:pStyle w:val="Lijstalinea"/>
        <w:numPr>
          <w:ilvl w:val="0"/>
          <w:numId w:val="9"/>
        </w:numPr>
        <w:tabs>
          <w:tab w:val="left" w:pos="809"/>
          <w:tab w:val="left" w:pos="810"/>
        </w:tabs>
        <w:ind w:right="119" w:hanging="314"/>
        <w:rPr>
          <w:sz w:val="18"/>
        </w:rPr>
      </w:pPr>
      <w:r>
        <w:rPr>
          <w:sz w:val="18"/>
        </w:rPr>
        <w:t xml:space="preserve">An </w:t>
      </w:r>
      <w:r>
        <w:rPr>
          <w:b/>
          <w:sz w:val="18"/>
        </w:rPr>
        <w:t xml:space="preserve">ellipsis </w:t>
      </w:r>
      <w:r>
        <w:rPr>
          <w:sz w:val="18"/>
        </w:rPr>
        <w:t>[ … ] proves to be a handy device when you're quoting material and you want to omit some words. The ellipsis consists of three evenly spaced dots (periods) with spaces between the ellipsis and surrounding letters or other</w:t>
      </w:r>
      <w:r>
        <w:rPr>
          <w:spacing w:val="-34"/>
          <w:sz w:val="18"/>
        </w:rPr>
        <w:t xml:space="preserve"> </w:t>
      </w:r>
      <w:r>
        <w:rPr>
          <w:sz w:val="18"/>
        </w:rPr>
        <w:t>marks.</w:t>
      </w:r>
    </w:p>
    <w:p w:rsidR="007C28B3" w:rsidRDefault="00EC7079">
      <w:pPr>
        <w:pStyle w:val="Plattetekst"/>
        <w:ind w:left="824" w:right="332"/>
      </w:pPr>
      <w:r>
        <w:t>For example: the full sentence would be: "The ceremony honoured twelve distinguished politicians from the Caribbean who were visiting the EU.". If you want to leave out "from the Caribbean who were", it becomes: “The ceremony honoured twelve distinguished politicians … visiting the EU.”</w:t>
      </w:r>
    </w:p>
    <w:p w:rsidR="007C28B3" w:rsidRDefault="007C28B3">
      <w:pPr>
        <w:pStyle w:val="Plattetekst"/>
        <w:spacing w:before="11"/>
        <w:rPr>
          <w:sz w:val="17"/>
        </w:rPr>
      </w:pPr>
    </w:p>
    <w:p w:rsidR="007C28B3" w:rsidRDefault="00EC7079">
      <w:pPr>
        <w:pStyle w:val="Plattetekst"/>
        <w:ind w:left="116" w:right="855"/>
      </w:pPr>
      <w:r>
        <w:t xml:space="preserve">More info: </w:t>
      </w:r>
      <w:hyperlink r:id="rId20">
        <w:r>
          <w:rPr>
            <w:color w:val="0000FF"/>
            <w:u w:val="single" w:color="0000FF"/>
          </w:rPr>
          <w:t>http://grammar.ccc.commnet.edu/grammar/marks/ellipsis.htm</w:t>
        </w:r>
      </w:hyperlink>
    </w:p>
    <w:p w:rsidR="007C28B3" w:rsidRDefault="007C28B3">
      <w:pPr>
        <w:pStyle w:val="Plattetekst"/>
        <w:spacing w:before="4"/>
        <w:rPr>
          <w:sz w:val="12"/>
        </w:rPr>
      </w:pPr>
    </w:p>
    <w:p w:rsidR="007C28B3" w:rsidRDefault="00EC7079">
      <w:pPr>
        <w:spacing w:before="68"/>
        <w:ind w:left="476" w:right="855"/>
        <w:rPr>
          <w:sz w:val="18"/>
        </w:rPr>
      </w:pPr>
      <w:r>
        <w:rPr>
          <w:b/>
          <w:sz w:val="18"/>
        </w:rPr>
        <w:t xml:space="preserve">-   Dashes </w:t>
      </w:r>
      <w:r>
        <w:rPr>
          <w:sz w:val="18"/>
        </w:rPr>
        <w:t>are used in:</w:t>
      </w:r>
    </w:p>
    <w:p w:rsidR="007C28B3" w:rsidRDefault="00EC7079">
      <w:pPr>
        <w:pStyle w:val="Lijstalinea"/>
        <w:numPr>
          <w:ilvl w:val="0"/>
          <w:numId w:val="8"/>
        </w:numPr>
        <w:tabs>
          <w:tab w:val="left" w:pos="1077"/>
        </w:tabs>
        <w:spacing w:before="2"/>
        <w:ind w:right="683"/>
        <w:rPr>
          <w:sz w:val="18"/>
        </w:rPr>
      </w:pPr>
      <w:r>
        <w:rPr>
          <w:sz w:val="18"/>
        </w:rPr>
        <w:t>Compound adjectives when at least one of the elements is a two-word compound. For example: pre-civil war</w:t>
      </w:r>
      <w:r>
        <w:rPr>
          <w:spacing w:val="-8"/>
          <w:sz w:val="18"/>
        </w:rPr>
        <w:t xml:space="preserve"> </w:t>
      </w:r>
      <w:r>
        <w:rPr>
          <w:sz w:val="18"/>
        </w:rPr>
        <w:t>period.</w:t>
      </w:r>
    </w:p>
    <w:p w:rsidR="007C28B3" w:rsidRDefault="007C28B3">
      <w:pPr>
        <w:pStyle w:val="Plattetekst"/>
        <w:spacing w:before="11"/>
        <w:rPr>
          <w:sz w:val="17"/>
        </w:rPr>
      </w:pPr>
    </w:p>
    <w:p w:rsidR="007C28B3" w:rsidRDefault="00EC7079">
      <w:pPr>
        <w:pStyle w:val="Lijstalinea"/>
        <w:numPr>
          <w:ilvl w:val="0"/>
          <w:numId w:val="8"/>
        </w:numPr>
        <w:tabs>
          <w:tab w:val="left" w:pos="1082"/>
        </w:tabs>
        <w:spacing w:line="219" w:lineRule="exact"/>
        <w:ind w:left="1081" w:hanging="257"/>
        <w:rPr>
          <w:sz w:val="18"/>
        </w:rPr>
      </w:pPr>
      <w:r>
        <w:rPr>
          <w:sz w:val="18"/>
        </w:rPr>
        <w:t>To replace the word ‘to’ between capitalized</w:t>
      </w:r>
      <w:r>
        <w:rPr>
          <w:spacing w:val="-21"/>
          <w:sz w:val="18"/>
        </w:rPr>
        <w:t xml:space="preserve"> </w:t>
      </w:r>
      <w:r>
        <w:rPr>
          <w:sz w:val="18"/>
        </w:rPr>
        <w:t>names.</w:t>
      </w:r>
    </w:p>
    <w:p w:rsidR="007C28B3" w:rsidRDefault="00EC7079">
      <w:pPr>
        <w:pStyle w:val="Plattetekst"/>
        <w:ind w:left="1076" w:right="855"/>
      </w:pPr>
      <w:r>
        <w:t>For example: Harare-Port Elizabeth flight</w:t>
      </w:r>
    </w:p>
    <w:p w:rsidR="007C28B3" w:rsidRDefault="007C28B3">
      <w:pPr>
        <w:pStyle w:val="Plattetekst"/>
        <w:spacing w:before="11"/>
        <w:rPr>
          <w:sz w:val="17"/>
        </w:rPr>
      </w:pPr>
    </w:p>
    <w:p w:rsidR="007C28B3" w:rsidRDefault="00EC7079">
      <w:pPr>
        <w:pStyle w:val="Lijstalinea"/>
        <w:numPr>
          <w:ilvl w:val="0"/>
          <w:numId w:val="8"/>
        </w:numPr>
        <w:tabs>
          <w:tab w:val="left" w:pos="1062"/>
        </w:tabs>
        <w:ind w:right="332"/>
        <w:rPr>
          <w:sz w:val="18"/>
        </w:rPr>
      </w:pPr>
      <w:r>
        <w:rPr>
          <w:sz w:val="18"/>
        </w:rPr>
        <w:t>When elements of equal significance are joined in a more complex relationship than signified by ‘and’ or ‘or’. For example: male-female relationship, student-teacher</w:t>
      </w:r>
      <w:r>
        <w:rPr>
          <w:spacing w:val="-34"/>
          <w:sz w:val="18"/>
        </w:rPr>
        <w:t xml:space="preserve"> </w:t>
      </w:r>
      <w:r>
        <w:rPr>
          <w:sz w:val="18"/>
        </w:rPr>
        <w:t>ratio</w:t>
      </w:r>
    </w:p>
    <w:p w:rsidR="007C28B3" w:rsidRDefault="007C28B3">
      <w:pPr>
        <w:pStyle w:val="Plattetekst"/>
        <w:spacing w:before="11"/>
        <w:rPr>
          <w:sz w:val="17"/>
        </w:rPr>
      </w:pPr>
    </w:p>
    <w:p w:rsidR="007C28B3" w:rsidRDefault="00EC7079">
      <w:pPr>
        <w:pStyle w:val="Plattetekst"/>
        <w:ind w:left="116" w:right="855"/>
      </w:pPr>
      <w:r>
        <w:t xml:space="preserve">More info: </w:t>
      </w:r>
      <w:hyperlink r:id="rId21">
        <w:r>
          <w:rPr>
            <w:color w:val="0000FF"/>
            <w:u w:val="single" w:color="0000FF"/>
          </w:rPr>
          <w:t>http://www.grammarbook.com/punctuation/dashes.asp</w:t>
        </w:r>
      </w:hyperlink>
    </w:p>
    <w:p w:rsidR="007C28B3" w:rsidRDefault="007C28B3">
      <w:pPr>
        <w:sectPr w:rsidR="007C28B3">
          <w:pgSz w:w="11910" w:h="16840"/>
          <w:pgMar w:top="1360" w:right="1380" w:bottom="1200" w:left="1300" w:header="0" w:footer="1003" w:gutter="0"/>
          <w:cols w:space="708"/>
        </w:sectPr>
      </w:pPr>
    </w:p>
    <w:p w:rsidR="007C28B3" w:rsidRDefault="00EC7079">
      <w:pPr>
        <w:pStyle w:val="Kop4"/>
        <w:numPr>
          <w:ilvl w:val="0"/>
          <w:numId w:val="7"/>
        </w:numPr>
        <w:tabs>
          <w:tab w:val="left" w:pos="836"/>
          <w:tab w:val="left" w:pos="837"/>
        </w:tabs>
        <w:spacing w:before="39" w:line="240" w:lineRule="auto"/>
        <w:ind w:right="0" w:hanging="348"/>
        <w:rPr>
          <w:b w:val="0"/>
        </w:rPr>
      </w:pPr>
      <w:r>
        <w:lastRenderedPageBreak/>
        <w:t>Colon</w:t>
      </w:r>
      <w:r>
        <w:rPr>
          <w:b w:val="0"/>
        </w:rPr>
        <w:t>:</w:t>
      </w:r>
    </w:p>
    <w:p w:rsidR="007C28B3" w:rsidRDefault="00EC7079">
      <w:pPr>
        <w:pStyle w:val="Lijstalinea"/>
        <w:numPr>
          <w:ilvl w:val="0"/>
          <w:numId w:val="6"/>
        </w:numPr>
        <w:tabs>
          <w:tab w:val="left" w:pos="1077"/>
        </w:tabs>
        <w:spacing w:before="2"/>
        <w:rPr>
          <w:sz w:val="18"/>
        </w:rPr>
      </w:pPr>
      <w:r>
        <w:rPr>
          <w:sz w:val="18"/>
        </w:rPr>
        <w:t>The first word after a colon is lowercase when it begins a</w:t>
      </w:r>
      <w:r>
        <w:rPr>
          <w:spacing w:val="-22"/>
          <w:sz w:val="18"/>
        </w:rPr>
        <w:t xml:space="preserve"> </w:t>
      </w:r>
      <w:r>
        <w:rPr>
          <w:sz w:val="18"/>
        </w:rPr>
        <w:t>list.</w:t>
      </w:r>
    </w:p>
    <w:p w:rsidR="007C28B3" w:rsidRDefault="00EC7079">
      <w:pPr>
        <w:pStyle w:val="Plattetekst"/>
        <w:ind w:left="1076"/>
      </w:pPr>
      <w:r>
        <w:t>For example: Most domestic farms focus on cash crops: corn, beans, wheat and tobacco.</w:t>
      </w:r>
    </w:p>
    <w:p w:rsidR="007C28B3" w:rsidRDefault="007C28B3">
      <w:pPr>
        <w:pStyle w:val="Plattetekst"/>
        <w:spacing w:before="11"/>
        <w:rPr>
          <w:sz w:val="17"/>
        </w:rPr>
      </w:pPr>
    </w:p>
    <w:p w:rsidR="007C28B3" w:rsidRDefault="00EC7079">
      <w:pPr>
        <w:pStyle w:val="Lijstalinea"/>
        <w:numPr>
          <w:ilvl w:val="0"/>
          <w:numId w:val="6"/>
        </w:numPr>
        <w:tabs>
          <w:tab w:val="left" w:pos="1082"/>
        </w:tabs>
        <w:spacing w:line="219" w:lineRule="exact"/>
        <w:ind w:left="1081" w:hanging="257"/>
        <w:rPr>
          <w:sz w:val="18"/>
        </w:rPr>
      </w:pPr>
      <w:r>
        <w:rPr>
          <w:sz w:val="18"/>
        </w:rPr>
        <w:t>The first word after a colon is lowercase when it begins a complete</w:t>
      </w:r>
      <w:r>
        <w:rPr>
          <w:spacing w:val="-29"/>
          <w:sz w:val="18"/>
        </w:rPr>
        <w:t xml:space="preserve"> </w:t>
      </w:r>
      <w:r>
        <w:rPr>
          <w:sz w:val="18"/>
        </w:rPr>
        <w:t>sentence.</w:t>
      </w:r>
    </w:p>
    <w:p w:rsidR="007C28B3" w:rsidRDefault="00EC7079">
      <w:pPr>
        <w:pStyle w:val="Plattetekst"/>
        <w:ind w:left="1076" w:right="326"/>
      </w:pPr>
      <w:r>
        <w:t>For example: The strategies of corporatist industrial unionism have proven ineffective: compromises have left labour in a weakened position in the new economy.</w:t>
      </w:r>
    </w:p>
    <w:p w:rsidR="007C28B3" w:rsidRDefault="007C28B3">
      <w:pPr>
        <w:pStyle w:val="Plattetekst"/>
        <w:spacing w:before="1"/>
      </w:pPr>
    </w:p>
    <w:p w:rsidR="007C28B3" w:rsidRDefault="00EC7079">
      <w:pPr>
        <w:pStyle w:val="Lijstalinea"/>
        <w:numPr>
          <w:ilvl w:val="0"/>
          <w:numId w:val="6"/>
        </w:numPr>
        <w:tabs>
          <w:tab w:val="left" w:pos="1062"/>
        </w:tabs>
        <w:ind w:right="1086"/>
        <w:rPr>
          <w:sz w:val="18"/>
        </w:rPr>
      </w:pPr>
      <w:r>
        <w:rPr>
          <w:sz w:val="18"/>
        </w:rPr>
        <w:t>If a colon introduces two or more sentences, the first word of each sentence is capitalized.</w:t>
      </w:r>
    </w:p>
    <w:p w:rsidR="007C28B3" w:rsidRDefault="00EC7079">
      <w:pPr>
        <w:pStyle w:val="Plattetekst"/>
        <w:ind w:left="1076" w:right="105"/>
      </w:pPr>
      <w:r>
        <w:t>For example: Please visit us at our newly revised website: Topics and Themes have been updated. You will also find more information on our publications.</w:t>
      </w:r>
    </w:p>
    <w:p w:rsidR="007C28B3" w:rsidRDefault="007C28B3">
      <w:pPr>
        <w:pStyle w:val="Plattetekst"/>
        <w:spacing w:before="11"/>
        <w:rPr>
          <w:sz w:val="17"/>
        </w:rPr>
      </w:pPr>
    </w:p>
    <w:p w:rsidR="007C28B3" w:rsidRDefault="00EC7079">
      <w:pPr>
        <w:pStyle w:val="Plattetekst"/>
        <w:ind w:left="116" w:right="430"/>
      </w:pPr>
      <w:r>
        <w:t xml:space="preserve">For more info: </w:t>
      </w:r>
      <w:hyperlink r:id="rId22">
        <w:r>
          <w:rPr>
            <w:color w:val="0000FF"/>
            <w:u w:val="single" w:color="0000FF"/>
          </w:rPr>
          <w:t>http://www.grammarbook.com/punctuation/colons.asp</w:t>
        </w:r>
      </w:hyperlink>
    </w:p>
    <w:p w:rsidR="007C28B3" w:rsidRDefault="007C28B3">
      <w:pPr>
        <w:pStyle w:val="Plattetekst"/>
        <w:spacing w:before="6"/>
        <w:rPr>
          <w:sz w:val="12"/>
        </w:rPr>
      </w:pPr>
    </w:p>
    <w:p w:rsidR="007C28B3" w:rsidRDefault="00EC7079">
      <w:pPr>
        <w:pStyle w:val="Kop4"/>
        <w:numPr>
          <w:ilvl w:val="0"/>
          <w:numId w:val="7"/>
        </w:numPr>
        <w:tabs>
          <w:tab w:val="left" w:pos="824"/>
          <w:tab w:val="left" w:pos="825"/>
        </w:tabs>
        <w:spacing w:before="68"/>
        <w:ind w:right="0" w:hanging="394"/>
        <w:rPr>
          <w:b w:val="0"/>
        </w:rPr>
      </w:pPr>
      <w:r>
        <w:t>Semicolon</w:t>
      </w:r>
      <w:r>
        <w:rPr>
          <w:b w:val="0"/>
        </w:rPr>
        <w:t>:</w:t>
      </w:r>
    </w:p>
    <w:p w:rsidR="007C28B3" w:rsidRDefault="00EC7079">
      <w:pPr>
        <w:pStyle w:val="Plattetekst"/>
        <w:ind w:left="824" w:right="783"/>
      </w:pPr>
      <w:r>
        <w:t>most commonly used to link (in a single sentence) two independent clauses that are closely related in thought. The first word after a semicolon is a lowercase.</w:t>
      </w:r>
    </w:p>
    <w:p w:rsidR="007C28B3" w:rsidRDefault="00EC7079">
      <w:pPr>
        <w:pStyle w:val="Plattetekst"/>
        <w:spacing w:line="218" w:lineRule="exact"/>
        <w:ind w:left="824" w:right="99"/>
      </w:pPr>
      <w:r>
        <w:t>For example: Some people write with a word processor; others write with a pen or pencil.</w:t>
      </w:r>
    </w:p>
    <w:p w:rsidR="007C28B3" w:rsidRDefault="00EC7079">
      <w:pPr>
        <w:pStyle w:val="Lijstalinea"/>
        <w:numPr>
          <w:ilvl w:val="0"/>
          <w:numId w:val="7"/>
        </w:numPr>
        <w:tabs>
          <w:tab w:val="left" w:pos="824"/>
          <w:tab w:val="left" w:pos="825"/>
        </w:tabs>
        <w:ind w:right="142" w:hanging="394"/>
        <w:rPr>
          <w:sz w:val="18"/>
        </w:rPr>
      </w:pPr>
      <w:r>
        <w:rPr>
          <w:sz w:val="18"/>
        </w:rPr>
        <w:t>between two independent clauses that are connected by conjunctive adverbs or transitional phrases.</w:t>
      </w:r>
    </w:p>
    <w:p w:rsidR="007C28B3" w:rsidRDefault="00EC7079">
      <w:pPr>
        <w:pStyle w:val="Plattetekst"/>
        <w:spacing w:before="2"/>
        <w:ind w:left="824" w:right="585"/>
      </w:pPr>
      <w:r>
        <w:t>For example: But however they choose to write, people are allowed to make their own decisions; as a result, many people swear by their writing methods.</w:t>
      </w:r>
    </w:p>
    <w:p w:rsidR="007C28B3" w:rsidRDefault="007C28B3">
      <w:pPr>
        <w:pStyle w:val="Plattetekst"/>
        <w:spacing w:before="11"/>
        <w:rPr>
          <w:sz w:val="17"/>
        </w:rPr>
      </w:pPr>
    </w:p>
    <w:p w:rsidR="007C28B3" w:rsidRDefault="00EC7079">
      <w:pPr>
        <w:pStyle w:val="Plattetekst"/>
        <w:ind w:left="824" w:right="3093"/>
      </w:pPr>
      <w:r>
        <w:rPr>
          <w:b/>
        </w:rPr>
        <w:t>NB</w:t>
      </w:r>
      <w:r>
        <w:t>: Avoid using a comma, when a semicolon is needed. For example: The dictator is old, he is also rich (incorrect).</w:t>
      </w:r>
    </w:p>
    <w:p w:rsidR="007C28B3" w:rsidRDefault="00EC7079">
      <w:pPr>
        <w:pStyle w:val="Plattetekst"/>
        <w:ind w:left="824" w:right="3228" w:firstLine="1276"/>
      </w:pPr>
      <w:r>
        <w:t>The dictator is old; he is also rich (correct). (both parts of the sentence are independent clauses).</w:t>
      </w:r>
    </w:p>
    <w:p w:rsidR="007C28B3" w:rsidRDefault="007C28B3">
      <w:pPr>
        <w:pStyle w:val="Plattetekst"/>
        <w:spacing w:before="1"/>
      </w:pPr>
    </w:p>
    <w:p w:rsidR="007C28B3" w:rsidRDefault="00EC7079">
      <w:pPr>
        <w:pStyle w:val="Plattetekst"/>
        <w:ind w:left="116" w:right="430"/>
      </w:pPr>
      <w:r>
        <w:t xml:space="preserve">More info: </w:t>
      </w:r>
      <w:hyperlink r:id="rId23">
        <w:r>
          <w:rPr>
            <w:color w:val="0000FF"/>
            <w:u w:val="single" w:color="0000FF"/>
          </w:rPr>
          <w:t>http://www.grammarbook.com/punctuation/semicolons.asp</w:t>
        </w:r>
      </w:hyperlink>
    </w:p>
    <w:p w:rsidR="007C28B3" w:rsidRDefault="007C28B3">
      <w:pPr>
        <w:pStyle w:val="Plattetekst"/>
        <w:rPr>
          <w:sz w:val="20"/>
        </w:rPr>
      </w:pPr>
    </w:p>
    <w:p w:rsidR="007C28B3" w:rsidRDefault="007C28B3">
      <w:pPr>
        <w:pStyle w:val="Plattetekst"/>
        <w:spacing w:before="11"/>
        <w:rPr>
          <w:sz w:val="15"/>
        </w:rPr>
      </w:pPr>
    </w:p>
    <w:p w:rsidR="007C28B3" w:rsidRDefault="00EC7079">
      <w:pPr>
        <w:pStyle w:val="Kop4"/>
        <w:ind w:right="430"/>
      </w:pPr>
      <w:r>
        <w:t>Numbers and dates</w:t>
      </w:r>
    </w:p>
    <w:p w:rsidR="007C28B3" w:rsidRDefault="00EC7079">
      <w:pPr>
        <w:pStyle w:val="Lijstalinea"/>
        <w:numPr>
          <w:ilvl w:val="0"/>
          <w:numId w:val="5"/>
        </w:numPr>
        <w:tabs>
          <w:tab w:val="left" w:pos="836"/>
          <w:tab w:val="left" w:pos="837"/>
        </w:tabs>
        <w:spacing w:line="242" w:lineRule="auto"/>
        <w:ind w:right="113"/>
        <w:rPr>
          <w:sz w:val="18"/>
        </w:rPr>
      </w:pPr>
      <w:r>
        <w:rPr>
          <w:sz w:val="18"/>
        </w:rPr>
        <w:t>Numbers from one to nine should be written as words, unless they express a percent or are in a collection of numbers for</w:t>
      </w:r>
      <w:r>
        <w:rPr>
          <w:spacing w:val="-16"/>
          <w:sz w:val="18"/>
        </w:rPr>
        <w:t xml:space="preserve"> </w:t>
      </w:r>
      <w:r>
        <w:rPr>
          <w:sz w:val="18"/>
        </w:rPr>
        <w:t>comparison.</w:t>
      </w:r>
    </w:p>
    <w:p w:rsidR="007C28B3" w:rsidRDefault="00EC7079">
      <w:pPr>
        <w:pStyle w:val="Lijstalinea"/>
        <w:numPr>
          <w:ilvl w:val="0"/>
          <w:numId w:val="5"/>
        </w:numPr>
        <w:tabs>
          <w:tab w:val="left" w:pos="836"/>
          <w:tab w:val="left" w:pos="837"/>
        </w:tabs>
        <w:spacing w:line="216" w:lineRule="exact"/>
        <w:rPr>
          <w:sz w:val="18"/>
        </w:rPr>
      </w:pPr>
      <w:r>
        <w:rPr>
          <w:sz w:val="18"/>
        </w:rPr>
        <w:t>Higher numbers should be written as</w:t>
      </w:r>
      <w:r>
        <w:rPr>
          <w:spacing w:val="-23"/>
          <w:sz w:val="18"/>
        </w:rPr>
        <w:t xml:space="preserve"> </w:t>
      </w:r>
      <w:r>
        <w:rPr>
          <w:sz w:val="18"/>
        </w:rPr>
        <w:t>numerals.</w:t>
      </w:r>
    </w:p>
    <w:p w:rsidR="007C28B3" w:rsidRDefault="00EC7079">
      <w:pPr>
        <w:pStyle w:val="Plattetekst"/>
        <w:ind w:left="824"/>
      </w:pPr>
      <w:r>
        <w:t>For example: 46 not forty-six, unless at the beginning of a sentence: Sixty-eight years ago.</w:t>
      </w:r>
    </w:p>
    <w:p w:rsidR="007C28B3" w:rsidRDefault="007C28B3">
      <w:pPr>
        <w:pStyle w:val="Plattetekst"/>
        <w:spacing w:before="11"/>
        <w:rPr>
          <w:sz w:val="17"/>
        </w:rPr>
      </w:pPr>
    </w:p>
    <w:p w:rsidR="007C28B3" w:rsidRDefault="00EC7079">
      <w:pPr>
        <w:pStyle w:val="Lijstalinea"/>
        <w:numPr>
          <w:ilvl w:val="0"/>
          <w:numId w:val="5"/>
        </w:numPr>
        <w:tabs>
          <w:tab w:val="left" w:pos="836"/>
          <w:tab w:val="left" w:pos="837"/>
        </w:tabs>
        <w:spacing w:before="1" w:line="219" w:lineRule="exact"/>
        <w:rPr>
          <w:sz w:val="18"/>
        </w:rPr>
      </w:pPr>
      <w:r>
        <w:rPr>
          <w:sz w:val="18"/>
        </w:rPr>
        <w:t>Percentages: Always use figures for</w:t>
      </w:r>
      <w:r>
        <w:rPr>
          <w:spacing w:val="-15"/>
          <w:sz w:val="18"/>
        </w:rPr>
        <w:t xml:space="preserve"> </w:t>
      </w:r>
      <w:r>
        <w:rPr>
          <w:sz w:val="18"/>
        </w:rPr>
        <w:t>percentages.</w:t>
      </w:r>
    </w:p>
    <w:p w:rsidR="007C28B3" w:rsidRDefault="00EC7079">
      <w:pPr>
        <w:pStyle w:val="Plattetekst"/>
        <w:spacing w:line="218" w:lineRule="exact"/>
        <w:ind w:left="824" w:right="430"/>
      </w:pPr>
      <w:r>
        <w:t>The word ‘percent’ is used instead of the symbol ‘%’.</w:t>
      </w:r>
    </w:p>
    <w:p w:rsidR="007C28B3" w:rsidRDefault="00EC7079">
      <w:pPr>
        <w:pStyle w:val="Plattetekst"/>
        <w:ind w:left="824" w:right="430"/>
      </w:pPr>
      <w:r>
        <w:t>For example: The group represents 40 percent of the voters.</w:t>
      </w:r>
    </w:p>
    <w:p w:rsidR="007C28B3" w:rsidRDefault="007C28B3">
      <w:pPr>
        <w:pStyle w:val="Plattetekst"/>
        <w:spacing w:before="1"/>
      </w:pPr>
    </w:p>
    <w:p w:rsidR="007C28B3" w:rsidRDefault="00EC7079">
      <w:pPr>
        <w:pStyle w:val="Lijstalinea"/>
        <w:numPr>
          <w:ilvl w:val="0"/>
          <w:numId w:val="5"/>
        </w:numPr>
        <w:tabs>
          <w:tab w:val="left" w:pos="836"/>
          <w:tab w:val="left" w:pos="837"/>
        </w:tabs>
        <w:ind w:right="218"/>
        <w:rPr>
          <w:sz w:val="18"/>
        </w:rPr>
      </w:pPr>
      <w:r>
        <w:rPr>
          <w:sz w:val="18"/>
        </w:rPr>
        <w:t>Centuries should be referred to as follows: 18th century, not eighteenth century, unless at the beginning of a</w:t>
      </w:r>
      <w:r>
        <w:rPr>
          <w:spacing w:val="-14"/>
          <w:sz w:val="18"/>
        </w:rPr>
        <w:t xml:space="preserve"> </w:t>
      </w:r>
      <w:r>
        <w:rPr>
          <w:sz w:val="18"/>
        </w:rPr>
        <w:t>sentence.</w:t>
      </w:r>
    </w:p>
    <w:p w:rsidR="007C28B3" w:rsidRDefault="00EC7079">
      <w:pPr>
        <w:pStyle w:val="Plattetekst"/>
        <w:spacing w:line="218" w:lineRule="exact"/>
        <w:ind w:left="824" w:right="430"/>
      </w:pPr>
      <w:r>
        <w:t>If in adjectival form, they should be hyphenated: 18th-century politics.</w:t>
      </w:r>
    </w:p>
    <w:p w:rsidR="007C28B3" w:rsidRDefault="007C28B3">
      <w:pPr>
        <w:pStyle w:val="Plattetekst"/>
        <w:spacing w:before="11"/>
        <w:rPr>
          <w:sz w:val="17"/>
        </w:rPr>
      </w:pPr>
    </w:p>
    <w:p w:rsidR="007C28B3" w:rsidRDefault="00EC7079">
      <w:pPr>
        <w:pStyle w:val="Lijstalinea"/>
        <w:numPr>
          <w:ilvl w:val="0"/>
          <w:numId w:val="5"/>
        </w:numPr>
        <w:tabs>
          <w:tab w:val="left" w:pos="836"/>
          <w:tab w:val="left" w:pos="837"/>
        </w:tabs>
        <w:ind w:left="824" w:right="2958" w:hanging="348"/>
        <w:rPr>
          <w:sz w:val="18"/>
        </w:rPr>
      </w:pPr>
      <w:r>
        <w:rPr>
          <w:sz w:val="18"/>
        </w:rPr>
        <w:t>Dates: Dates should always be written as ‘date month</w:t>
      </w:r>
      <w:r>
        <w:rPr>
          <w:spacing w:val="-23"/>
          <w:sz w:val="18"/>
        </w:rPr>
        <w:t xml:space="preserve"> </w:t>
      </w:r>
      <w:r>
        <w:rPr>
          <w:sz w:val="18"/>
        </w:rPr>
        <w:t>year.’ For example: 24 November</w:t>
      </w:r>
      <w:r>
        <w:rPr>
          <w:spacing w:val="-9"/>
          <w:sz w:val="18"/>
        </w:rPr>
        <w:t xml:space="preserve"> </w:t>
      </w:r>
      <w:r>
        <w:rPr>
          <w:sz w:val="18"/>
        </w:rPr>
        <w:t>2014</w:t>
      </w:r>
    </w:p>
    <w:p w:rsidR="007C28B3" w:rsidRDefault="007C28B3">
      <w:pPr>
        <w:pStyle w:val="Plattetekst"/>
        <w:spacing w:before="1"/>
      </w:pPr>
    </w:p>
    <w:p w:rsidR="007C28B3" w:rsidRDefault="00EC7079">
      <w:pPr>
        <w:pStyle w:val="Plattetekst"/>
        <w:ind w:left="116" w:right="430"/>
      </w:pPr>
      <w:r>
        <w:t xml:space="preserve">More info: </w:t>
      </w:r>
      <w:hyperlink r:id="rId24">
        <w:r>
          <w:rPr>
            <w:color w:val="0000FF"/>
            <w:u w:val="single" w:color="0000FF"/>
          </w:rPr>
          <w:t>http://www.grammarbook.com/numbers/numbers.asp</w:t>
        </w:r>
      </w:hyperlink>
    </w:p>
    <w:p w:rsidR="007C28B3" w:rsidRDefault="007C28B3">
      <w:pPr>
        <w:pStyle w:val="Plattetekst"/>
        <w:rPr>
          <w:sz w:val="20"/>
        </w:rPr>
      </w:pPr>
    </w:p>
    <w:p w:rsidR="007C28B3" w:rsidRDefault="007C28B3">
      <w:pPr>
        <w:pStyle w:val="Plattetekst"/>
        <w:spacing w:before="11"/>
        <w:rPr>
          <w:sz w:val="15"/>
        </w:rPr>
      </w:pPr>
    </w:p>
    <w:p w:rsidR="007C28B3" w:rsidRDefault="00EC7079">
      <w:pPr>
        <w:pStyle w:val="Kop4"/>
        <w:ind w:right="430"/>
      </w:pPr>
      <w:r>
        <w:t>Names and Terms</w:t>
      </w:r>
    </w:p>
    <w:p w:rsidR="007C28B3" w:rsidRDefault="00EC7079">
      <w:pPr>
        <w:pStyle w:val="Lijstalinea"/>
        <w:numPr>
          <w:ilvl w:val="0"/>
          <w:numId w:val="5"/>
        </w:numPr>
        <w:tabs>
          <w:tab w:val="left" w:pos="836"/>
          <w:tab w:val="left" w:pos="837"/>
        </w:tabs>
        <w:ind w:right="258"/>
        <w:rPr>
          <w:sz w:val="18"/>
        </w:rPr>
      </w:pPr>
      <w:r>
        <w:rPr>
          <w:sz w:val="18"/>
        </w:rPr>
        <w:t>Use of capitals: The use of capital letters should be minimized except for proper names. Lowercase letters should be used generically for government, ministries, departments, prime ministers, presidents, summits, committees, commissions, courts, etc., unless used as a proper name, e.g., President Obama, the Ministry of Defence,</w:t>
      </w:r>
      <w:r>
        <w:rPr>
          <w:spacing w:val="-28"/>
          <w:sz w:val="18"/>
        </w:rPr>
        <w:t xml:space="preserve"> </w:t>
      </w:r>
      <w:r>
        <w:rPr>
          <w:sz w:val="18"/>
        </w:rPr>
        <w:t>etc.</w:t>
      </w:r>
    </w:p>
    <w:p w:rsidR="007C28B3" w:rsidRDefault="007C28B3">
      <w:pPr>
        <w:pStyle w:val="Plattetekst"/>
        <w:spacing w:before="11"/>
        <w:rPr>
          <w:sz w:val="17"/>
        </w:rPr>
      </w:pPr>
    </w:p>
    <w:p w:rsidR="007C28B3" w:rsidRDefault="00EC7079">
      <w:pPr>
        <w:pStyle w:val="Lijstalinea"/>
        <w:numPr>
          <w:ilvl w:val="0"/>
          <w:numId w:val="5"/>
        </w:numPr>
        <w:tabs>
          <w:tab w:val="left" w:pos="836"/>
          <w:tab w:val="left" w:pos="837"/>
        </w:tabs>
        <w:ind w:right="633"/>
        <w:rPr>
          <w:sz w:val="18"/>
        </w:rPr>
      </w:pPr>
      <w:r>
        <w:rPr>
          <w:sz w:val="18"/>
        </w:rPr>
        <w:t>The first letter of specific commissions or institutions (e.g., courts) is capitalized (ICC, ICTR, SCSL, EU, ILO, etc.) on second</w:t>
      </w:r>
      <w:r>
        <w:rPr>
          <w:spacing w:val="-17"/>
          <w:sz w:val="18"/>
        </w:rPr>
        <w:t xml:space="preserve"> </w:t>
      </w:r>
      <w:r>
        <w:rPr>
          <w:sz w:val="18"/>
        </w:rPr>
        <w:t>mention.</w:t>
      </w:r>
    </w:p>
    <w:p w:rsidR="007C28B3" w:rsidRDefault="00EC7079">
      <w:pPr>
        <w:pStyle w:val="Plattetekst"/>
        <w:ind w:left="824" w:right="491"/>
      </w:pPr>
      <w:r>
        <w:t>For example: The International Criminal Court (ICC) is located in The Hague. The Court is often in the news.</w:t>
      </w:r>
    </w:p>
    <w:p w:rsidR="007C28B3" w:rsidRDefault="007C28B3">
      <w:pPr>
        <w:pStyle w:val="Plattetekst"/>
        <w:spacing w:before="11"/>
        <w:rPr>
          <w:sz w:val="17"/>
        </w:rPr>
      </w:pPr>
    </w:p>
    <w:p w:rsidR="007C28B3" w:rsidRDefault="00EC7079">
      <w:pPr>
        <w:pStyle w:val="Plattetekst"/>
        <w:ind w:left="116" w:right="430"/>
      </w:pPr>
      <w:r>
        <w:t xml:space="preserve">More info: </w:t>
      </w:r>
      <w:hyperlink r:id="rId25">
        <w:r>
          <w:rPr>
            <w:color w:val="0000FF"/>
            <w:u w:val="single" w:color="0000FF"/>
          </w:rPr>
          <w:t>http://www.grammarbook.com/punctuation/capital.asp</w:t>
        </w:r>
      </w:hyperlink>
    </w:p>
    <w:p w:rsidR="007C28B3" w:rsidRDefault="007C28B3">
      <w:pPr>
        <w:sectPr w:rsidR="007C28B3">
          <w:pgSz w:w="11910" w:h="16840"/>
          <w:pgMar w:top="1360" w:right="1320" w:bottom="1200" w:left="1300" w:header="0" w:footer="1003" w:gutter="0"/>
          <w:cols w:space="708"/>
        </w:sectPr>
      </w:pPr>
    </w:p>
    <w:p w:rsidR="007C28B3" w:rsidRDefault="00EC7079">
      <w:pPr>
        <w:pStyle w:val="Kop4"/>
        <w:spacing w:before="39" w:line="240" w:lineRule="auto"/>
      </w:pPr>
      <w:r>
        <w:lastRenderedPageBreak/>
        <w:t>Citations</w:t>
      </w:r>
    </w:p>
    <w:p w:rsidR="007C28B3" w:rsidRDefault="00EC7079">
      <w:pPr>
        <w:pStyle w:val="Lijstalinea"/>
        <w:numPr>
          <w:ilvl w:val="0"/>
          <w:numId w:val="4"/>
        </w:numPr>
        <w:tabs>
          <w:tab w:val="left" w:pos="836"/>
          <w:tab w:val="left" w:pos="837"/>
        </w:tabs>
        <w:spacing w:before="2"/>
        <w:rPr>
          <w:sz w:val="18"/>
        </w:rPr>
      </w:pPr>
      <w:r>
        <w:rPr>
          <w:sz w:val="18"/>
        </w:rPr>
        <w:t>Footnotes are used, not</w:t>
      </w:r>
      <w:r>
        <w:rPr>
          <w:spacing w:val="-15"/>
          <w:sz w:val="18"/>
        </w:rPr>
        <w:t xml:space="preserve"> </w:t>
      </w:r>
      <w:r>
        <w:rPr>
          <w:sz w:val="18"/>
        </w:rPr>
        <w:t>endnotes.</w:t>
      </w:r>
    </w:p>
    <w:p w:rsidR="007C28B3" w:rsidRDefault="00EC7079">
      <w:pPr>
        <w:pStyle w:val="Plattetekst"/>
        <w:ind w:left="824" w:right="147"/>
      </w:pPr>
      <w:r>
        <w:t>Footnotes should be used for both bibliographic and explanatory information and should be marked clearly in the text in numeric order after a point of punctuation and listed at the bottom of the relevant page.</w:t>
      </w:r>
    </w:p>
    <w:p w:rsidR="007C28B3" w:rsidRDefault="007C28B3">
      <w:pPr>
        <w:pStyle w:val="Plattetekst"/>
        <w:spacing w:before="11"/>
        <w:rPr>
          <w:sz w:val="17"/>
        </w:rPr>
      </w:pPr>
    </w:p>
    <w:p w:rsidR="007C28B3" w:rsidRDefault="00EC7079">
      <w:pPr>
        <w:pStyle w:val="Lijstalinea"/>
        <w:numPr>
          <w:ilvl w:val="0"/>
          <w:numId w:val="4"/>
        </w:numPr>
        <w:tabs>
          <w:tab w:val="left" w:pos="836"/>
          <w:tab w:val="left" w:pos="837"/>
        </w:tabs>
        <w:spacing w:line="219" w:lineRule="exact"/>
        <w:rPr>
          <w:sz w:val="18"/>
        </w:rPr>
      </w:pPr>
      <w:r>
        <w:rPr>
          <w:sz w:val="18"/>
        </w:rPr>
        <w:t>Use Arabic numerals (1, 2, 3 …) for all</w:t>
      </w:r>
      <w:r>
        <w:rPr>
          <w:spacing w:val="-14"/>
          <w:sz w:val="18"/>
        </w:rPr>
        <w:t xml:space="preserve"> </w:t>
      </w:r>
      <w:r>
        <w:rPr>
          <w:sz w:val="18"/>
        </w:rPr>
        <w:t>footnotes.</w:t>
      </w:r>
    </w:p>
    <w:p w:rsidR="007C28B3" w:rsidRDefault="00EC7079">
      <w:pPr>
        <w:pStyle w:val="Plattetekst"/>
        <w:spacing w:before="4" w:line="220" w:lineRule="exact"/>
        <w:ind w:left="824" w:right="637"/>
      </w:pPr>
      <w:r>
        <w:t>For example: …This process arguably commenced with the First Gulf War in 1991 and accelerated with the US invasion of Iraq in 2003</w:t>
      </w:r>
      <w:r>
        <w:rPr>
          <w:position w:val="8"/>
          <w:sz w:val="12"/>
        </w:rPr>
        <w:t>1</w:t>
      </w:r>
      <w:r>
        <w:t>…</w:t>
      </w:r>
    </w:p>
    <w:p w:rsidR="007C28B3" w:rsidRDefault="007C28B3">
      <w:pPr>
        <w:pStyle w:val="Plattetekst"/>
        <w:spacing w:before="5"/>
        <w:rPr>
          <w:sz w:val="17"/>
        </w:rPr>
      </w:pPr>
    </w:p>
    <w:p w:rsidR="007C28B3" w:rsidRDefault="00EC7079">
      <w:pPr>
        <w:pStyle w:val="Lijstalinea"/>
        <w:numPr>
          <w:ilvl w:val="0"/>
          <w:numId w:val="4"/>
        </w:numPr>
        <w:tabs>
          <w:tab w:val="left" w:pos="836"/>
          <w:tab w:val="left" w:pos="837"/>
        </w:tabs>
        <w:spacing w:line="219" w:lineRule="exact"/>
        <w:rPr>
          <w:sz w:val="18"/>
        </w:rPr>
      </w:pPr>
      <w:r>
        <w:rPr>
          <w:sz w:val="18"/>
        </w:rPr>
        <w:t>The page numbers include all the numbers and are not</w:t>
      </w:r>
      <w:r>
        <w:rPr>
          <w:spacing w:val="-26"/>
          <w:sz w:val="18"/>
        </w:rPr>
        <w:t xml:space="preserve"> </w:t>
      </w:r>
      <w:r>
        <w:rPr>
          <w:sz w:val="18"/>
        </w:rPr>
        <w:t>abbreviated.</w:t>
      </w:r>
    </w:p>
    <w:p w:rsidR="007C28B3" w:rsidRDefault="00EC7079">
      <w:pPr>
        <w:pStyle w:val="Plattetekst"/>
        <w:ind w:left="824" w:right="147"/>
      </w:pPr>
      <w:r>
        <w:t>For example: 175-178</w:t>
      </w:r>
    </w:p>
    <w:p w:rsidR="007C28B3" w:rsidRDefault="007C28B3">
      <w:pPr>
        <w:pStyle w:val="Plattetekst"/>
        <w:spacing w:before="11"/>
        <w:rPr>
          <w:sz w:val="17"/>
        </w:rPr>
      </w:pPr>
    </w:p>
    <w:p w:rsidR="007C28B3" w:rsidRDefault="00EC7079">
      <w:pPr>
        <w:pStyle w:val="Lijstalinea"/>
        <w:numPr>
          <w:ilvl w:val="0"/>
          <w:numId w:val="4"/>
        </w:numPr>
        <w:tabs>
          <w:tab w:val="left" w:pos="836"/>
          <w:tab w:val="left" w:pos="837"/>
        </w:tabs>
        <w:spacing w:line="242" w:lineRule="auto"/>
        <w:ind w:right="118"/>
        <w:rPr>
          <w:sz w:val="18"/>
        </w:rPr>
      </w:pPr>
      <w:r>
        <w:rPr>
          <w:sz w:val="18"/>
        </w:rPr>
        <w:t>In cases where one source is being cited for several references within a paragraph, number the reference only once at the end of the</w:t>
      </w:r>
      <w:r>
        <w:rPr>
          <w:spacing w:val="-24"/>
          <w:sz w:val="18"/>
        </w:rPr>
        <w:t xml:space="preserve"> </w:t>
      </w:r>
      <w:r>
        <w:rPr>
          <w:sz w:val="18"/>
        </w:rPr>
        <w:t>paragraph.</w:t>
      </w:r>
    </w:p>
    <w:p w:rsidR="007C28B3" w:rsidRDefault="00EC7079">
      <w:pPr>
        <w:pStyle w:val="Lijstalinea"/>
        <w:numPr>
          <w:ilvl w:val="0"/>
          <w:numId w:val="3"/>
        </w:numPr>
        <w:tabs>
          <w:tab w:val="left" w:pos="836"/>
          <w:tab w:val="left" w:pos="837"/>
        </w:tabs>
        <w:spacing w:before="6" w:line="430" w:lineRule="atLeast"/>
        <w:ind w:right="105" w:hanging="348"/>
        <w:rPr>
          <w:sz w:val="18"/>
        </w:rPr>
      </w:pPr>
      <w:r>
        <w:rPr>
          <w:sz w:val="18"/>
        </w:rPr>
        <w:t xml:space="preserve">Footnotes and / or reference lists may contain the abbreviations , </w:t>
      </w:r>
      <w:r>
        <w:rPr>
          <w:i/>
          <w:sz w:val="18"/>
        </w:rPr>
        <w:t>Id</w:t>
      </w:r>
      <w:r>
        <w:rPr>
          <w:sz w:val="18"/>
        </w:rPr>
        <w:t xml:space="preserve">. </w:t>
      </w:r>
      <w:r>
        <w:rPr>
          <w:i/>
          <w:sz w:val="18"/>
        </w:rPr>
        <w:t xml:space="preserve">Ibid. </w:t>
      </w:r>
      <w:r>
        <w:rPr>
          <w:sz w:val="18"/>
        </w:rPr>
        <w:t xml:space="preserve">and / or </w:t>
      </w:r>
      <w:r>
        <w:rPr>
          <w:i/>
          <w:sz w:val="18"/>
        </w:rPr>
        <w:t>op. cit.</w:t>
      </w:r>
      <w:r>
        <w:rPr>
          <w:sz w:val="18"/>
        </w:rPr>
        <w:t>: DEFINITIONS:</w:t>
      </w:r>
    </w:p>
    <w:p w:rsidR="007C28B3" w:rsidRDefault="00EC7079">
      <w:pPr>
        <w:pStyle w:val="Lijstalinea"/>
        <w:numPr>
          <w:ilvl w:val="0"/>
          <w:numId w:val="2"/>
        </w:numPr>
        <w:tabs>
          <w:tab w:val="left" w:pos="836"/>
          <w:tab w:val="left" w:pos="837"/>
        </w:tabs>
        <w:spacing w:before="7" w:line="218" w:lineRule="exact"/>
        <w:ind w:right="3061" w:hanging="348"/>
        <w:rPr>
          <w:sz w:val="18"/>
        </w:rPr>
      </w:pPr>
      <w:r>
        <w:rPr>
          <w:i/>
          <w:sz w:val="18"/>
        </w:rPr>
        <w:t>Id</w:t>
      </w:r>
      <w:r>
        <w:rPr>
          <w:sz w:val="18"/>
        </w:rPr>
        <w:t xml:space="preserve">. (abbreviation for the Latin </w:t>
      </w:r>
      <w:r>
        <w:rPr>
          <w:i/>
          <w:sz w:val="18"/>
        </w:rPr>
        <w:t xml:space="preserve">idem, </w:t>
      </w:r>
      <w:r>
        <w:rPr>
          <w:sz w:val="18"/>
        </w:rPr>
        <w:t>meaning “The same”). Refers to the same author as</w:t>
      </w:r>
      <w:r>
        <w:rPr>
          <w:spacing w:val="-17"/>
          <w:sz w:val="18"/>
        </w:rPr>
        <w:t xml:space="preserve"> </w:t>
      </w:r>
      <w:r>
        <w:rPr>
          <w:sz w:val="18"/>
        </w:rPr>
        <w:t>before.</w:t>
      </w:r>
    </w:p>
    <w:p w:rsidR="007C28B3" w:rsidRDefault="00EC7079">
      <w:pPr>
        <w:pStyle w:val="Lijstalinea"/>
        <w:numPr>
          <w:ilvl w:val="0"/>
          <w:numId w:val="2"/>
        </w:numPr>
        <w:tabs>
          <w:tab w:val="left" w:pos="836"/>
          <w:tab w:val="left" w:pos="837"/>
        </w:tabs>
        <w:spacing w:line="223" w:lineRule="exact"/>
        <w:ind w:left="836"/>
        <w:rPr>
          <w:sz w:val="18"/>
        </w:rPr>
      </w:pPr>
      <w:r>
        <w:rPr>
          <w:i/>
          <w:sz w:val="18"/>
        </w:rPr>
        <w:t>Ibid</w:t>
      </w:r>
      <w:r>
        <w:rPr>
          <w:sz w:val="18"/>
        </w:rPr>
        <w:t xml:space="preserve">. (abbreviation for the Latin </w:t>
      </w:r>
      <w:r>
        <w:rPr>
          <w:i/>
          <w:sz w:val="18"/>
        </w:rPr>
        <w:t>Ibidem</w:t>
      </w:r>
      <w:r>
        <w:rPr>
          <w:sz w:val="18"/>
        </w:rPr>
        <w:t>, meaning "The</w:t>
      </w:r>
      <w:r>
        <w:rPr>
          <w:spacing w:val="-27"/>
          <w:sz w:val="18"/>
        </w:rPr>
        <w:t xml:space="preserve"> </w:t>
      </w:r>
      <w:r>
        <w:rPr>
          <w:sz w:val="18"/>
        </w:rPr>
        <w:t>same").</w:t>
      </w:r>
    </w:p>
    <w:p w:rsidR="007C28B3" w:rsidRDefault="00EC7079">
      <w:pPr>
        <w:pStyle w:val="Plattetekst"/>
        <w:ind w:left="836" w:right="373"/>
      </w:pPr>
      <w:r>
        <w:t>Refers to the same author and source (e.g., book, journal) in the immediately preceding reference.</w:t>
      </w:r>
    </w:p>
    <w:p w:rsidR="007C28B3" w:rsidRDefault="00EC7079">
      <w:pPr>
        <w:pStyle w:val="Lijstalinea"/>
        <w:numPr>
          <w:ilvl w:val="0"/>
          <w:numId w:val="2"/>
        </w:numPr>
        <w:tabs>
          <w:tab w:val="left" w:pos="836"/>
          <w:tab w:val="left" w:pos="837"/>
        </w:tabs>
        <w:spacing w:before="6" w:line="218" w:lineRule="exact"/>
        <w:ind w:left="836" w:right="150"/>
        <w:rPr>
          <w:sz w:val="18"/>
        </w:rPr>
      </w:pPr>
      <w:r>
        <w:rPr>
          <w:i/>
          <w:sz w:val="18"/>
        </w:rPr>
        <w:t xml:space="preserve">op. cit. </w:t>
      </w:r>
      <w:r>
        <w:rPr>
          <w:sz w:val="18"/>
        </w:rPr>
        <w:t xml:space="preserve">(abbreviation for the Latin </w:t>
      </w:r>
      <w:r>
        <w:rPr>
          <w:i/>
          <w:sz w:val="18"/>
        </w:rPr>
        <w:t xml:space="preserve">opus citatum </w:t>
      </w:r>
      <w:r>
        <w:rPr>
          <w:sz w:val="18"/>
        </w:rPr>
        <w:t xml:space="preserve">or </w:t>
      </w:r>
      <w:r>
        <w:rPr>
          <w:i/>
          <w:sz w:val="18"/>
        </w:rPr>
        <w:t>opere citato</w:t>
      </w:r>
      <w:r>
        <w:rPr>
          <w:sz w:val="18"/>
        </w:rPr>
        <w:t>, meaning "the work cited"). Refers to the reference listed earlier by the same</w:t>
      </w:r>
      <w:r>
        <w:rPr>
          <w:spacing w:val="-24"/>
          <w:sz w:val="18"/>
        </w:rPr>
        <w:t xml:space="preserve"> </w:t>
      </w:r>
      <w:r>
        <w:rPr>
          <w:sz w:val="18"/>
        </w:rPr>
        <w:t>author.</w:t>
      </w:r>
    </w:p>
    <w:p w:rsidR="007C28B3" w:rsidRDefault="007C28B3">
      <w:pPr>
        <w:pStyle w:val="Plattetekst"/>
        <w:spacing w:before="5"/>
        <w:rPr>
          <w:sz w:val="17"/>
        </w:rPr>
      </w:pPr>
    </w:p>
    <w:p w:rsidR="007C28B3" w:rsidRDefault="00EC7079">
      <w:pPr>
        <w:pStyle w:val="Plattetekst"/>
        <w:spacing w:line="242" w:lineRule="auto"/>
        <w:ind w:left="824" w:right="136"/>
      </w:pPr>
      <w:r>
        <w:rPr>
          <w:i/>
        </w:rPr>
        <w:t>Ibid</w:t>
      </w:r>
      <w:r>
        <w:t xml:space="preserve">. refers to the immediately preceding reference; </w:t>
      </w:r>
      <w:r>
        <w:rPr>
          <w:i/>
        </w:rPr>
        <w:t xml:space="preserve">op. cit. </w:t>
      </w:r>
      <w:r>
        <w:t>refers to the prior reference by the same author.</w:t>
      </w:r>
    </w:p>
    <w:p w:rsidR="007C28B3" w:rsidRDefault="007C28B3">
      <w:pPr>
        <w:pStyle w:val="Plattetekst"/>
        <w:spacing w:before="9"/>
        <w:rPr>
          <w:sz w:val="17"/>
        </w:rPr>
      </w:pPr>
    </w:p>
    <w:p w:rsidR="007C28B3" w:rsidRDefault="00EC7079">
      <w:pPr>
        <w:pStyle w:val="Plattetekst"/>
        <w:spacing w:line="219" w:lineRule="exact"/>
        <w:ind w:left="824" w:right="147"/>
      </w:pPr>
      <w:r>
        <w:t>EXAMPLES:</w:t>
      </w:r>
    </w:p>
    <w:p w:rsidR="007C28B3" w:rsidRDefault="00EC7079">
      <w:pPr>
        <w:ind w:left="824" w:right="3393"/>
        <w:rPr>
          <w:sz w:val="18"/>
        </w:rPr>
      </w:pPr>
      <w:r>
        <w:rPr>
          <w:sz w:val="18"/>
        </w:rPr>
        <w:t xml:space="preserve">2. A. Irving, </w:t>
      </w:r>
      <w:r>
        <w:rPr>
          <w:i/>
          <w:sz w:val="18"/>
        </w:rPr>
        <w:t>The EU in transition</w:t>
      </w:r>
      <w:r>
        <w:rPr>
          <w:sz w:val="18"/>
        </w:rPr>
        <w:t xml:space="preserve">, London, 2002, p. 151 3. </w:t>
      </w:r>
      <w:r>
        <w:rPr>
          <w:i/>
          <w:sz w:val="18"/>
        </w:rPr>
        <w:t>Id</w:t>
      </w:r>
      <w:r>
        <w:rPr>
          <w:sz w:val="18"/>
        </w:rPr>
        <w:t>., p. 158</w:t>
      </w:r>
    </w:p>
    <w:p w:rsidR="007C28B3" w:rsidRDefault="00EC7079">
      <w:pPr>
        <w:pStyle w:val="Lijstalinea"/>
        <w:numPr>
          <w:ilvl w:val="0"/>
          <w:numId w:val="1"/>
        </w:numPr>
        <w:tabs>
          <w:tab w:val="left" w:pos="1067"/>
        </w:tabs>
        <w:spacing w:line="218" w:lineRule="exact"/>
        <w:ind w:firstLine="0"/>
        <w:rPr>
          <w:sz w:val="18"/>
        </w:rPr>
      </w:pPr>
      <w:r>
        <w:rPr>
          <w:sz w:val="18"/>
        </w:rPr>
        <w:t xml:space="preserve">R. Poirer, </w:t>
      </w:r>
      <w:r>
        <w:rPr>
          <w:i/>
          <w:sz w:val="18"/>
        </w:rPr>
        <w:t>Learning physics</w:t>
      </w:r>
      <w:r>
        <w:rPr>
          <w:sz w:val="18"/>
        </w:rPr>
        <w:t>, Academic, New York, 1993, p.</w:t>
      </w:r>
      <w:r>
        <w:rPr>
          <w:spacing w:val="-23"/>
          <w:sz w:val="18"/>
        </w:rPr>
        <w:t xml:space="preserve"> </w:t>
      </w:r>
      <w:r>
        <w:rPr>
          <w:sz w:val="18"/>
        </w:rPr>
        <w:t>4.</w:t>
      </w:r>
    </w:p>
    <w:p w:rsidR="007C28B3" w:rsidRDefault="00EC7079">
      <w:pPr>
        <w:pStyle w:val="Lijstalinea"/>
        <w:numPr>
          <w:ilvl w:val="0"/>
          <w:numId w:val="1"/>
        </w:numPr>
        <w:tabs>
          <w:tab w:val="left" w:pos="1067"/>
        </w:tabs>
        <w:spacing w:before="2" w:line="219" w:lineRule="exact"/>
        <w:ind w:left="1066" w:hanging="242"/>
        <w:rPr>
          <w:i/>
          <w:sz w:val="18"/>
        </w:rPr>
      </w:pPr>
      <w:r>
        <w:rPr>
          <w:i/>
          <w:sz w:val="18"/>
        </w:rPr>
        <w:t>Ibid.</w:t>
      </w:r>
    </w:p>
    <w:p w:rsidR="007C28B3" w:rsidRDefault="00EC7079">
      <w:pPr>
        <w:pStyle w:val="Lijstalinea"/>
        <w:numPr>
          <w:ilvl w:val="0"/>
          <w:numId w:val="1"/>
        </w:numPr>
        <w:tabs>
          <w:tab w:val="left" w:pos="1067"/>
        </w:tabs>
        <w:ind w:right="3382" w:firstLine="0"/>
        <w:rPr>
          <w:sz w:val="18"/>
        </w:rPr>
      </w:pPr>
      <w:r>
        <w:rPr>
          <w:sz w:val="18"/>
        </w:rPr>
        <w:t xml:space="preserve">T. Eliot, </w:t>
      </w:r>
      <w:r>
        <w:rPr>
          <w:i/>
          <w:sz w:val="18"/>
        </w:rPr>
        <w:t>Astrophysics</w:t>
      </w:r>
      <w:r>
        <w:rPr>
          <w:sz w:val="18"/>
        </w:rPr>
        <w:t xml:space="preserve">, Springer, Berlin, 1989, p. 141. 7. R. Builder, </w:t>
      </w:r>
      <w:r>
        <w:rPr>
          <w:i/>
          <w:sz w:val="18"/>
        </w:rPr>
        <w:t xml:space="preserve">J Phys Chem </w:t>
      </w:r>
      <w:r>
        <w:rPr>
          <w:sz w:val="18"/>
        </w:rPr>
        <w:t>20(3) 1654-57,</w:t>
      </w:r>
      <w:r>
        <w:rPr>
          <w:spacing w:val="-17"/>
          <w:sz w:val="18"/>
        </w:rPr>
        <w:t xml:space="preserve"> </w:t>
      </w:r>
      <w:r>
        <w:rPr>
          <w:sz w:val="18"/>
        </w:rPr>
        <w:t>1991.</w:t>
      </w:r>
    </w:p>
    <w:p w:rsidR="007C28B3" w:rsidRPr="00EC7079" w:rsidRDefault="00EC7079">
      <w:pPr>
        <w:ind w:left="824" w:right="147"/>
        <w:rPr>
          <w:sz w:val="18"/>
          <w:lang w:val="nl-NL"/>
        </w:rPr>
      </w:pPr>
      <w:r w:rsidRPr="00EC7079">
        <w:rPr>
          <w:sz w:val="18"/>
          <w:lang w:val="nl-NL"/>
        </w:rPr>
        <w:t xml:space="preserve">8. T. Eliot, </w:t>
      </w:r>
      <w:r w:rsidRPr="00EC7079">
        <w:rPr>
          <w:i/>
          <w:sz w:val="18"/>
          <w:lang w:val="nl-NL"/>
        </w:rPr>
        <w:t>op. cit.</w:t>
      </w:r>
      <w:r w:rsidRPr="00EC7079">
        <w:rPr>
          <w:sz w:val="18"/>
          <w:lang w:val="nl-NL"/>
        </w:rPr>
        <w:t>, p.148.</w:t>
      </w:r>
    </w:p>
    <w:p w:rsidR="007C28B3" w:rsidRPr="00EC7079" w:rsidRDefault="007C28B3">
      <w:pPr>
        <w:pStyle w:val="Plattetekst"/>
        <w:spacing w:before="11"/>
        <w:rPr>
          <w:sz w:val="17"/>
          <w:lang w:val="nl-NL"/>
        </w:rPr>
      </w:pPr>
    </w:p>
    <w:p w:rsidR="007C28B3" w:rsidRDefault="00EC7079">
      <w:pPr>
        <w:pStyle w:val="Plattetekst"/>
        <w:spacing w:line="219" w:lineRule="exact"/>
        <w:ind w:left="824" w:right="147"/>
      </w:pPr>
      <w:r>
        <w:t>IDENTIFYING THE SOURCE:</w:t>
      </w:r>
    </w:p>
    <w:p w:rsidR="007C28B3" w:rsidRDefault="00EC7079">
      <w:pPr>
        <w:pStyle w:val="Lijstalinea"/>
        <w:numPr>
          <w:ilvl w:val="0"/>
          <w:numId w:val="2"/>
        </w:numPr>
        <w:tabs>
          <w:tab w:val="left" w:pos="836"/>
          <w:tab w:val="left" w:pos="837"/>
        </w:tabs>
        <w:spacing w:line="228" w:lineRule="exact"/>
        <w:ind w:left="836"/>
        <w:rPr>
          <w:sz w:val="18"/>
        </w:rPr>
      </w:pPr>
      <w:r>
        <w:rPr>
          <w:sz w:val="18"/>
        </w:rPr>
        <w:t xml:space="preserve">Where </w:t>
      </w:r>
      <w:r>
        <w:rPr>
          <w:i/>
          <w:sz w:val="18"/>
        </w:rPr>
        <w:t>Id</w:t>
      </w:r>
      <w:r>
        <w:rPr>
          <w:sz w:val="18"/>
        </w:rPr>
        <w:t>.</w:t>
      </w:r>
      <w:r>
        <w:rPr>
          <w:spacing w:val="-3"/>
          <w:sz w:val="18"/>
        </w:rPr>
        <w:t xml:space="preserve"> </w:t>
      </w:r>
      <w:r>
        <w:rPr>
          <w:sz w:val="18"/>
        </w:rPr>
        <w:t>appears,</w:t>
      </w:r>
    </w:p>
    <w:p w:rsidR="007C28B3" w:rsidRDefault="00EC7079">
      <w:pPr>
        <w:pStyle w:val="Plattetekst"/>
        <w:ind w:left="824" w:right="2826"/>
      </w:pPr>
      <w:r>
        <w:t>The source is listed in the immediately preceeding reference . Same author, same publication, different page.</w:t>
      </w:r>
    </w:p>
    <w:p w:rsidR="007C28B3" w:rsidRDefault="00EC7079">
      <w:pPr>
        <w:spacing w:line="218" w:lineRule="exact"/>
        <w:ind w:left="824" w:right="147"/>
        <w:rPr>
          <w:i/>
          <w:sz w:val="18"/>
        </w:rPr>
      </w:pPr>
      <w:r>
        <w:rPr>
          <w:i/>
          <w:sz w:val="18"/>
        </w:rPr>
        <w:t>For reference # 3 in the list above, the source is listed in # 2 (Irving, The Eu….etc.).</w:t>
      </w:r>
    </w:p>
    <w:p w:rsidR="007C28B3" w:rsidRDefault="00EC7079">
      <w:pPr>
        <w:pStyle w:val="Lijstalinea"/>
        <w:numPr>
          <w:ilvl w:val="0"/>
          <w:numId w:val="2"/>
        </w:numPr>
        <w:tabs>
          <w:tab w:val="left" w:pos="836"/>
          <w:tab w:val="left" w:pos="837"/>
        </w:tabs>
        <w:spacing w:line="227" w:lineRule="exact"/>
        <w:ind w:left="836"/>
        <w:rPr>
          <w:sz w:val="18"/>
        </w:rPr>
      </w:pPr>
      <w:r>
        <w:rPr>
          <w:sz w:val="18"/>
        </w:rPr>
        <w:t xml:space="preserve">Where </w:t>
      </w:r>
      <w:r>
        <w:rPr>
          <w:i/>
          <w:sz w:val="18"/>
        </w:rPr>
        <w:t>Ibid.</w:t>
      </w:r>
      <w:r>
        <w:rPr>
          <w:i/>
          <w:spacing w:val="-3"/>
          <w:sz w:val="18"/>
        </w:rPr>
        <w:t xml:space="preserve"> </w:t>
      </w:r>
      <w:r>
        <w:rPr>
          <w:sz w:val="18"/>
        </w:rPr>
        <w:t>appears,</w:t>
      </w:r>
    </w:p>
    <w:p w:rsidR="007C28B3" w:rsidRDefault="00EC7079">
      <w:pPr>
        <w:pStyle w:val="Plattetekst"/>
        <w:ind w:left="824" w:right="2918" w:firstLine="12"/>
      </w:pPr>
      <w:r>
        <w:t>the source is listed in the immediately preceeding reference. Same author, same publication, same page, etc.</w:t>
      </w:r>
    </w:p>
    <w:p w:rsidR="007C28B3" w:rsidRDefault="00EC7079">
      <w:pPr>
        <w:spacing w:line="218" w:lineRule="exact"/>
        <w:ind w:left="824" w:right="147"/>
        <w:rPr>
          <w:i/>
          <w:sz w:val="18"/>
        </w:rPr>
      </w:pPr>
      <w:r>
        <w:rPr>
          <w:i/>
          <w:sz w:val="18"/>
        </w:rPr>
        <w:t>For reference # 5 in the list above, the source is listed in # 4 (Poirer, Learning Physics).</w:t>
      </w:r>
    </w:p>
    <w:p w:rsidR="007C28B3" w:rsidRDefault="00EC7079">
      <w:pPr>
        <w:pStyle w:val="Lijstalinea"/>
        <w:numPr>
          <w:ilvl w:val="0"/>
          <w:numId w:val="2"/>
        </w:numPr>
        <w:tabs>
          <w:tab w:val="left" w:pos="836"/>
          <w:tab w:val="left" w:pos="837"/>
        </w:tabs>
        <w:spacing w:before="2" w:line="227" w:lineRule="exact"/>
        <w:ind w:left="836"/>
        <w:rPr>
          <w:sz w:val="18"/>
        </w:rPr>
      </w:pPr>
      <w:r>
        <w:rPr>
          <w:sz w:val="18"/>
        </w:rPr>
        <w:t xml:space="preserve">Where </w:t>
      </w:r>
      <w:r>
        <w:rPr>
          <w:i/>
          <w:sz w:val="18"/>
        </w:rPr>
        <w:t>op. cit</w:t>
      </w:r>
      <w:r>
        <w:rPr>
          <w:sz w:val="18"/>
        </w:rPr>
        <w:t>.</w:t>
      </w:r>
      <w:r>
        <w:rPr>
          <w:spacing w:val="-5"/>
          <w:sz w:val="18"/>
        </w:rPr>
        <w:t xml:space="preserve"> </w:t>
      </w:r>
      <w:r>
        <w:rPr>
          <w:sz w:val="18"/>
        </w:rPr>
        <w:t>appears,</w:t>
      </w:r>
    </w:p>
    <w:p w:rsidR="007C28B3" w:rsidRDefault="00EC7079">
      <w:pPr>
        <w:pStyle w:val="Plattetekst"/>
        <w:spacing w:line="210" w:lineRule="exact"/>
        <w:ind w:left="836" w:right="147"/>
      </w:pPr>
      <w:r>
        <w:t>the source is listed in the previous reference by the same author.</w:t>
      </w:r>
    </w:p>
    <w:p w:rsidR="007C28B3" w:rsidRDefault="00EC7079">
      <w:pPr>
        <w:ind w:left="836" w:right="296"/>
        <w:rPr>
          <w:i/>
          <w:sz w:val="18"/>
        </w:rPr>
      </w:pPr>
      <w:r>
        <w:rPr>
          <w:i/>
          <w:sz w:val="18"/>
        </w:rPr>
        <w:t>For reference # 8 in the list above, the author is Eliot and reference # 6 is by Eliot so the source is Astrophysics.</w:t>
      </w:r>
    </w:p>
    <w:p w:rsidR="007C28B3" w:rsidRDefault="007C28B3">
      <w:pPr>
        <w:pStyle w:val="Plattetekst"/>
        <w:rPr>
          <w:i/>
          <w:sz w:val="20"/>
        </w:rPr>
      </w:pPr>
    </w:p>
    <w:p w:rsidR="007C28B3" w:rsidRDefault="007C28B3">
      <w:pPr>
        <w:pStyle w:val="Plattetekst"/>
        <w:rPr>
          <w:i/>
          <w:sz w:val="20"/>
        </w:rPr>
      </w:pPr>
    </w:p>
    <w:p w:rsidR="007C28B3" w:rsidRDefault="007C28B3">
      <w:pPr>
        <w:pStyle w:val="Plattetekst"/>
        <w:rPr>
          <w:i/>
          <w:sz w:val="20"/>
        </w:rPr>
      </w:pPr>
    </w:p>
    <w:p w:rsidR="007C28B3" w:rsidRDefault="007C28B3">
      <w:pPr>
        <w:pStyle w:val="Plattetekst"/>
        <w:rPr>
          <w:i/>
          <w:sz w:val="20"/>
        </w:rPr>
      </w:pPr>
    </w:p>
    <w:p w:rsidR="007C28B3" w:rsidRDefault="007C28B3">
      <w:pPr>
        <w:pStyle w:val="Plattetekst"/>
        <w:rPr>
          <w:i/>
          <w:sz w:val="20"/>
        </w:rPr>
      </w:pPr>
    </w:p>
    <w:p w:rsidR="007C28B3" w:rsidRDefault="007C28B3">
      <w:pPr>
        <w:pStyle w:val="Plattetekst"/>
        <w:rPr>
          <w:i/>
          <w:sz w:val="20"/>
        </w:rPr>
      </w:pPr>
    </w:p>
    <w:p w:rsidR="007C28B3" w:rsidRDefault="007C28B3">
      <w:pPr>
        <w:pStyle w:val="Plattetekst"/>
        <w:rPr>
          <w:i/>
          <w:sz w:val="20"/>
        </w:rPr>
      </w:pPr>
    </w:p>
    <w:p w:rsidR="007C28B3" w:rsidRDefault="00545601">
      <w:pPr>
        <w:pStyle w:val="Plattetekst"/>
        <w:spacing w:before="1"/>
        <w:rPr>
          <w:i/>
          <w:sz w:val="11"/>
        </w:rPr>
      </w:pPr>
      <w:r>
        <w:rPr>
          <w:noProof/>
          <w:lang w:val="en-CA" w:eastAsia="en-CA"/>
        </w:rPr>
        <mc:AlternateContent>
          <mc:Choice Requires="wps">
            <w:drawing>
              <wp:anchor distT="0" distB="0" distL="0" distR="0" simplePos="0" relativeHeight="251658752" behindDoc="0" locked="0" layoutInCell="1" allowOverlap="1">
                <wp:simplePos x="0" y="0"/>
                <wp:positionH relativeFrom="page">
                  <wp:posOffset>899160</wp:posOffset>
                </wp:positionH>
                <wp:positionV relativeFrom="paragraph">
                  <wp:posOffset>114935</wp:posOffset>
                </wp:positionV>
                <wp:extent cx="1829435" cy="0"/>
                <wp:effectExtent l="13335" t="10160" r="5080" b="889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05pt" to="214.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hm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iahM70xhUQUKmtDbXRk3o2G01/OqR01RK155Hhy9lAWhYyklcpYeMM4O/6r5pBDDl4Hdt0&#10;amwXIKEB6BTVON/U4CePKBxms8k8fwBadPAlpBgSjXX+C9cdCkaJJXCOwOS4cT4QIcUQEu5Rei2k&#10;jGJLhfoSz7M8jwlOS8GCM4Q5u99V0qIjCeMSv1gVeO7DrD4oFsFaTtjqansi5MWGy6UKeFAK0Lla&#10;l3n4NU/nq9lqlo/yyXQ1ytO6Hn1eV/lous4+PdYPdVXV2e9ALcuLVjDGVWA3zGaWv0376yu5TNVt&#10;Om9tSF6jx34B2eEfSUctg3yXQdhpdt7aQWMYxxh8fTph3u/3YN8/8OUfAAAA//8DAFBLAwQUAAYA&#10;CAAAACEAs0Xtit0AAAAJAQAADwAAAGRycy9kb3ducmV2LnhtbEyPwU7DMBBE70j8g7VI3KiTqkpL&#10;iFOhKlwQBwh8wDbeJlZjO4rdJvTrWcSB3nZ2R7Nviu1se3GmMRjvFKSLBAS5xmvjWgVfny8PGxAh&#10;otPYe0cKvinAtry9KTDXfnIfdK5jKzjEhRwVdDEOuZSh6chiWPiBHN8OfrQYWY6t1CNOHG57uUyS&#10;TFo0jj90ONCuo+ZYn6yC+v1tyl4vl6la1wZDjKarqp1S93fz8xOISHP8N8MvPqNDyUx7f3I6iJ71&#10;Ks3YysMmBcGG1fJxDWL/t5BlIa8blD8AAAD//wMAUEsBAi0AFAAGAAgAAAAhALaDOJL+AAAA4QEA&#10;ABMAAAAAAAAAAAAAAAAAAAAAAFtDb250ZW50X1R5cGVzXS54bWxQSwECLQAUAAYACAAAACEAOP0h&#10;/9YAAACUAQAACwAAAAAAAAAAAAAAAAAvAQAAX3JlbHMvLnJlbHNQSwECLQAUAAYACAAAACEA14zI&#10;ZhICAAAoBAAADgAAAAAAAAAAAAAAAAAuAgAAZHJzL2Uyb0RvYy54bWxQSwECLQAUAAYACAAAACEA&#10;s0Xtit0AAAAJAQAADwAAAAAAAAAAAAAAAABsBAAAZHJzL2Rvd25yZXYueG1sUEsFBgAAAAAEAAQA&#10;8wAAAHYFAAAAAA==&#10;" strokeweight=".72pt">
                <w10:wrap type="topAndBottom" anchorx="page"/>
              </v:line>
            </w:pict>
          </mc:Fallback>
        </mc:AlternateContent>
      </w:r>
    </w:p>
    <w:p w:rsidR="007C28B3" w:rsidRDefault="00EC7079">
      <w:pPr>
        <w:spacing w:before="39"/>
        <w:ind w:left="116" w:right="486"/>
        <w:jc w:val="both"/>
        <w:rPr>
          <w:rFonts w:ascii="Calibri" w:hAnsi="Calibri"/>
          <w:sz w:val="16"/>
        </w:rPr>
      </w:pPr>
      <w:r>
        <w:rPr>
          <w:rFonts w:ascii="Calibri" w:hAnsi="Calibri"/>
          <w:position w:val="10"/>
          <w:sz w:val="13"/>
        </w:rPr>
        <w:t xml:space="preserve">1 </w:t>
      </w:r>
      <w:r>
        <w:rPr>
          <w:rFonts w:ascii="Calibri" w:hAnsi="Calibri"/>
          <w:sz w:val="20"/>
        </w:rPr>
        <w:t xml:space="preserve">Iraq’s modern history is well described in: Cleveland, W. (2004), </w:t>
      </w:r>
      <w:r>
        <w:rPr>
          <w:rFonts w:ascii="Calibri" w:hAnsi="Calibri"/>
          <w:i/>
          <w:sz w:val="16"/>
        </w:rPr>
        <w:t>A History of the Modern Middle East</w:t>
      </w:r>
      <w:r>
        <w:rPr>
          <w:rFonts w:ascii="Calibri" w:hAnsi="Calibri"/>
          <w:sz w:val="16"/>
        </w:rPr>
        <w:t xml:space="preserve">, Third edition, Westview Press: Oxford; Gairdner, D. (2012), </w:t>
      </w:r>
      <w:r>
        <w:rPr>
          <w:rFonts w:ascii="Calibri" w:hAnsi="Calibri"/>
          <w:i/>
          <w:sz w:val="16"/>
        </w:rPr>
        <w:t>Risk and Violence in Iraq’s New Sectarian Balance</w:t>
      </w:r>
      <w:r>
        <w:rPr>
          <w:rFonts w:ascii="Calibri" w:hAnsi="Calibri"/>
          <w:sz w:val="16"/>
        </w:rPr>
        <w:t xml:space="preserve">, Report of NOREF and the Clingendael Institute: Oslo; Allawi, A. (2014), </w:t>
      </w:r>
      <w:r>
        <w:rPr>
          <w:rFonts w:ascii="Calibri" w:hAnsi="Calibri"/>
          <w:i/>
          <w:sz w:val="16"/>
        </w:rPr>
        <w:t>Faisal I of Iraq</w:t>
      </w:r>
      <w:r>
        <w:rPr>
          <w:rFonts w:ascii="Calibri" w:hAnsi="Calibri"/>
          <w:sz w:val="16"/>
        </w:rPr>
        <w:t>, Yale University Press: New Haven.</w:t>
      </w:r>
    </w:p>
    <w:p w:rsidR="007C28B3" w:rsidRDefault="007C28B3">
      <w:pPr>
        <w:jc w:val="both"/>
        <w:rPr>
          <w:rFonts w:ascii="Calibri" w:hAnsi="Calibri"/>
          <w:sz w:val="16"/>
        </w:rPr>
        <w:sectPr w:rsidR="007C28B3">
          <w:pgSz w:w="11910" w:h="16840"/>
          <w:pgMar w:top="1360" w:right="1340" w:bottom="1200" w:left="1300" w:header="0" w:footer="1003" w:gutter="0"/>
          <w:cols w:space="708"/>
        </w:sectPr>
      </w:pPr>
    </w:p>
    <w:p w:rsidR="007C28B3" w:rsidRDefault="00EC7079">
      <w:pPr>
        <w:pStyle w:val="Kop4"/>
        <w:spacing w:before="39" w:line="240" w:lineRule="auto"/>
      </w:pPr>
      <w:r>
        <w:lastRenderedPageBreak/>
        <w:t>Citation examples (titles in citations are fictitious and only serve as example)</w:t>
      </w:r>
    </w:p>
    <w:p w:rsidR="007C28B3" w:rsidRDefault="007C28B3">
      <w:pPr>
        <w:pStyle w:val="Plattetekst"/>
        <w:spacing w:before="2"/>
        <w:rPr>
          <w:b/>
        </w:rPr>
      </w:pPr>
    </w:p>
    <w:p w:rsidR="007C28B3" w:rsidRDefault="00EC7079">
      <w:pPr>
        <w:spacing w:line="219" w:lineRule="exact"/>
        <w:ind w:left="116" w:right="147"/>
        <w:rPr>
          <w:sz w:val="18"/>
        </w:rPr>
      </w:pPr>
      <w:r>
        <w:rPr>
          <w:b/>
          <w:sz w:val="18"/>
        </w:rPr>
        <w:t>One author</w:t>
      </w:r>
      <w:r>
        <w:rPr>
          <w:sz w:val="18"/>
        </w:rPr>
        <w:t>:</w:t>
      </w:r>
    </w:p>
    <w:p w:rsidR="007C28B3" w:rsidRPr="00EC7079" w:rsidRDefault="00EC7079">
      <w:pPr>
        <w:ind w:left="116" w:right="147"/>
        <w:rPr>
          <w:sz w:val="18"/>
          <w:lang w:val="nl-NL"/>
        </w:rPr>
      </w:pPr>
      <w:r>
        <w:rPr>
          <w:sz w:val="18"/>
        </w:rPr>
        <w:t xml:space="preserve">Rood, J.Q.Th. 2011. </w:t>
      </w:r>
      <w:r w:rsidRPr="00EC7079">
        <w:rPr>
          <w:i/>
          <w:sz w:val="18"/>
          <w:lang w:val="nl-NL"/>
        </w:rPr>
        <w:t>Beter een goede buur dan een verre vriend</w:t>
      </w:r>
      <w:r w:rsidRPr="00EC7079">
        <w:rPr>
          <w:sz w:val="18"/>
          <w:lang w:val="nl-NL"/>
        </w:rPr>
        <w:t>, The Hague, the Clingendael Institute, 123.</w:t>
      </w:r>
    </w:p>
    <w:p w:rsidR="007C28B3" w:rsidRPr="00EC7079" w:rsidRDefault="007C28B3">
      <w:pPr>
        <w:pStyle w:val="Plattetekst"/>
        <w:spacing w:before="11"/>
        <w:rPr>
          <w:sz w:val="17"/>
          <w:lang w:val="nl-NL"/>
        </w:rPr>
      </w:pPr>
    </w:p>
    <w:p w:rsidR="007C28B3" w:rsidRDefault="00EC7079">
      <w:pPr>
        <w:pStyle w:val="Kop4"/>
        <w:rPr>
          <w:b w:val="0"/>
        </w:rPr>
      </w:pPr>
      <w:r>
        <w:t>Two authors</w:t>
      </w:r>
      <w:r>
        <w:rPr>
          <w:b w:val="0"/>
        </w:rPr>
        <w:t>:</w:t>
      </w:r>
    </w:p>
    <w:p w:rsidR="007C28B3" w:rsidRDefault="00EC7079">
      <w:pPr>
        <w:spacing w:line="242" w:lineRule="auto"/>
        <w:ind w:left="116" w:right="625"/>
        <w:rPr>
          <w:sz w:val="18"/>
        </w:rPr>
      </w:pPr>
      <w:r>
        <w:rPr>
          <w:sz w:val="18"/>
        </w:rPr>
        <w:t xml:space="preserve">Schout A., and Mijs A. 2010. </w:t>
      </w:r>
      <w:r>
        <w:rPr>
          <w:i/>
          <w:sz w:val="18"/>
        </w:rPr>
        <w:t>The Dualism of the European Union</w:t>
      </w:r>
      <w:r>
        <w:rPr>
          <w:sz w:val="18"/>
        </w:rPr>
        <w:t>, The Hague, the Clingendael Institute, 87.</w:t>
      </w:r>
    </w:p>
    <w:p w:rsidR="007C28B3" w:rsidRDefault="007C28B3">
      <w:pPr>
        <w:pStyle w:val="Plattetekst"/>
        <w:spacing w:before="9"/>
        <w:rPr>
          <w:sz w:val="17"/>
        </w:rPr>
      </w:pPr>
    </w:p>
    <w:p w:rsidR="007C28B3" w:rsidRDefault="00EC7079">
      <w:pPr>
        <w:pStyle w:val="Kop4"/>
        <w:rPr>
          <w:b w:val="0"/>
        </w:rPr>
      </w:pPr>
      <w:r>
        <w:t>Several authors</w:t>
      </w:r>
      <w:r>
        <w:rPr>
          <w:b w:val="0"/>
        </w:rPr>
        <w:t>:</w:t>
      </w:r>
    </w:p>
    <w:p w:rsidR="007C28B3" w:rsidRDefault="00EC7079">
      <w:pPr>
        <w:ind w:left="116" w:right="613"/>
        <w:rPr>
          <w:sz w:val="18"/>
        </w:rPr>
      </w:pPr>
      <w:r>
        <w:rPr>
          <w:sz w:val="18"/>
        </w:rPr>
        <w:t xml:space="preserve">Janssen, F.J.A., et al. 2012. </w:t>
      </w:r>
      <w:r>
        <w:rPr>
          <w:i/>
          <w:sz w:val="18"/>
        </w:rPr>
        <w:t>The Clingendael Review of International Defense</w:t>
      </w:r>
      <w:r>
        <w:rPr>
          <w:sz w:val="18"/>
        </w:rPr>
        <w:t>, The Hague, the Clingendael Institute, 262.</w:t>
      </w:r>
    </w:p>
    <w:p w:rsidR="007C28B3" w:rsidRDefault="007C28B3">
      <w:pPr>
        <w:pStyle w:val="Plattetekst"/>
        <w:spacing w:before="1"/>
      </w:pPr>
    </w:p>
    <w:p w:rsidR="007C28B3" w:rsidRDefault="00EC7079">
      <w:pPr>
        <w:pStyle w:val="Kop4"/>
        <w:rPr>
          <w:b w:val="0"/>
        </w:rPr>
      </w:pPr>
      <w:r>
        <w:t>Editor, translator or compiler instead of author</w:t>
      </w:r>
      <w:r>
        <w:rPr>
          <w:b w:val="0"/>
        </w:rPr>
        <w:t>:</w:t>
      </w:r>
    </w:p>
    <w:p w:rsidR="007C28B3" w:rsidRDefault="00EC7079">
      <w:pPr>
        <w:ind w:left="116" w:right="131"/>
        <w:rPr>
          <w:sz w:val="18"/>
        </w:rPr>
      </w:pPr>
      <w:r>
        <w:rPr>
          <w:sz w:val="18"/>
        </w:rPr>
        <w:t xml:space="preserve">Melissen, J., trans., 2003. </w:t>
      </w:r>
      <w:r>
        <w:rPr>
          <w:i/>
          <w:sz w:val="18"/>
        </w:rPr>
        <w:t>The Importance of Diplomacy</w:t>
      </w:r>
      <w:r>
        <w:rPr>
          <w:sz w:val="18"/>
        </w:rPr>
        <w:t>, Amsterdam, Amsterdam University Press, 91-92.</w:t>
      </w:r>
    </w:p>
    <w:p w:rsidR="007C28B3" w:rsidRDefault="007C28B3">
      <w:pPr>
        <w:pStyle w:val="Plattetekst"/>
        <w:spacing w:before="11"/>
        <w:rPr>
          <w:sz w:val="17"/>
        </w:rPr>
      </w:pPr>
    </w:p>
    <w:p w:rsidR="007C28B3" w:rsidRDefault="00EC7079">
      <w:pPr>
        <w:pStyle w:val="Kop4"/>
        <w:spacing w:line="240" w:lineRule="auto"/>
        <w:rPr>
          <w:b w:val="0"/>
        </w:rPr>
      </w:pPr>
      <w:r>
        <w:t>Editor, translator or compiler in addition to author</w:t>
      </w:r>
      <w:r>
        <w:rPr>
          <w:b w:val="0"/>
        </w:rPr>
        <w:t>:</w:t>
      </w:r>
    </w:p>
    <w:p w:rsidR="007C28B3" w:rsidRDefault="00EC7079">
      <w:pPr>
        <w:ind w:left="116" w:right="1574"/>
        <w:rPr>
          <w:sz w:val="18"/>
        </w:rPr>
      </w:pPr>
      <w:r>
        <w:rPr>
          <w:sz w:val="18"/>
        </w:rPr>
        <w:t xml:space="preserve">Briscoe, I., </w:t>
      </w:r>
      <w:r>
        <w:rPr>
          <w:i/>
          <w:sz w:val="18"/>
        </w:rPr>
        <w:t>Sources of Conflict in Colombia</w:t>
      </w:r>
      <w:r>
        <w:rPr>
          <w:sz w:val="18"/>
        </w:rPr>
        <w:t>, ed., Suarez P. and Richardson T. 2013. Bogotá: Universidad de Colombia, 22.</w:t>
      </w:r>
    </w:p>
    <w:p w:rsidR="007C28B3" w:rsidRDefault="007C28B3">
      <w:pPr>
        <w:pStyle w:val="Plattetekst"/>
        <w:spacing w:before="1"/>
      </w:pPr>
    </w:p>
    <w:p w:rsidR="007C28B3" w:rsidRDefault="00EC7079">
      <w:pPr>
        <w:pStyle w:val="Kop4"/>
        <w:rPr>
          <w:b w:val="0"/>
        </w:rPr>
      </w:pPr>
      <w:r>
        <w:t>Chapter or other part of a book</w:t>
      </w:r>
      <w:r>
        <w:rPr>
          <w:b w:val="0"/>
        </w:rPr>
        <w:t>:</w:t>
      </w:r>
    </w:p>
    <w:p w:rsidR="007C28B3" w:rsidRDefault="00EC7079">
      <w:pPr>
        <w:ind w:left="116" w:right="217"/>
        <w:rPr>
          <w:sz w:val="18"/>
        </w:rPr>
      </w:pPr>
      <w:r w:rsidRPr="00EC7079">
        <w:rPr>
          <w:sz w:val="18"/>
          <w:lang w:val="nl-NL"/>
        </w:rPr>
        <w:t xml:space="preserve">Rood, J.Q.Th. 2011. ‘Leiderschap in de Europese Unie: de kwadratuur van de cirkel’, in: </w:t>
      </w:r>
      <w:r w:rsidRPr="00EC7079">
        <w:rPr>
          <w:i/>
          <w:sz w:val="18"/>
          <w:lang w:val="nl-NL"/>
        </w:rPr>
        <w:t>Koning Nobel: opstellen over goede en kwade leiders, en wat het verschil maakt</w:t>
      </w:r>
      <w:r w:rsidRPr="00EC7079">
        <w:rPr>
          <w:sz w:val="18"/>
          <w:lang w:val="nl-NL"/>
        </w:rPr>
        <w:t xml:space="preserve">; liber amicorum for Prof. dr. </w:t>
      </w:r>
      <w:r>
        <w:rPr>
          <w:sz w:val="18"/>
        </w:rPr>
        <w:t>Hans Renner / ed. Bosscher, D.  and van Hoef, Y., 207–212.</w:t>
      </w:r>
    </w:p>
    <w:p w:rsidR="007C28B3" w:rsidRDefault="007C28B3">
      <w:pPr>
        <w:pStyle w:val="Plattetekst"/>
        <w:spacing w:before="11"/>
        <w:rPr>
          <w:sz w:val="17"/>
        </w:rPr>
      </w:pPr>
    </w:p>
    <w:p w:rsidR="007C28B3" w:rsidRDefault="00EC7079">
      <w:pPr>
        <w:ind w:left="116" w:right="281"/>
        <w:rPr>
          <w:sz w:val="18"/>
        </w:rPr>
      </w:pPr>
      <w:r>
        <w:rPr>
          <w:b/>
          <w:sz w:val="18"/>
        </w:rPr>
        <w:t xml:space="preserve">Chapter of an edited volume originally published elsewhere </w:t>
      </w:r>
      <w:r>
        <w:rPr>
          <w:sz w:val="18"/>
        </w:rPr>
        <w:t xml:space="preserve">(as in primary sources): Ginkel, B. van 2012. ‘Handbook on Piracy in Africa,’ in: </w:t>
      </w:r>
      <w:r>
        <w:rPr>
          <w:i/>
          <w:sz w:val="18"/>
        </w:rPr>
        <w:t>Piracy on a Global Scale: An International Approach</w:t>
      </w:r>
      <w:r>
        <w:rPr>
          <w:sz w:val="18"/>
        </w:rPr>
        <w:t>, ed. Meer, S van der, and Schregardus, P., vol. 2 of University of Leiden Readings in International Terrorism, ed. Bakker, E., and Price, M. Leiden, Leiden University Press, 75.</w:t>
      </w:r>
    </w:p>
    <w:p w:rsidR="007C28B3" w:rsidRDefault="007C28B3">
      <w:pPr>
        <w:pStyle w:val="Plattetekst"/>
        <w:spacing w:before="11"/>
        <w:rPr>
          <w:sz w:val="17"/>
        </w:rPr>
      </w:pPr>
    </w:p>
    <w:p w:rsidR="007C28B3" w:rsidRDefault="00EC7079">
      <w:pPr>
        <w:pStyle w:val="Kop4"/>
        <w:rPr>
          <w:b w:val="0"/>
        </w:rPr>
      </w:pPr>
      <w:r>
        <w:t>Preface, foreword, introduction or similar part of a book</w:t>
      </w:r>
      <w:r>
        <w:rPr>
          <w:b w:val="0"/>
        </w:rPr>
        <w:t>:</w:t>
      </w:r>
    </w:p>
    <w:p w:rsidR="007C28B3" w:rsidRDefault="00EC7079">
      <w:pPr>
        <w:spacing w:line="242" w:lineRule="auto"/>
        <w:ind w:left="116" w:right="319"/>
        <w:rPr>
          <w:sz w:val="18"/>
        </w:rPr>
      </w:pPr>
      <w:r>
        <w:rPr>
          <w:sz w:val="18"/>
        </w:rPr>
        <w:t xml:space="preserve">Schout A. 2012. Introduction to </w:t>
      </w:r>
      <w:r>
        <w:rPr>
          <w:i/>
          <w:sz w:val="18"/>
        </w:rPr>
        <w:t>Guidelines to the European Union</w:t>
      </w:r>
      <w:r>
        <w:rPr>
          <w:sz w:val="18"/>
        </w:rPr>
        <w:t>, by Rompuy, H. van, Brussels: University of Brussels Press, xx-xxi.</w:t>
      </w:r>
    </w:p>
    <w:p w:rsidR="007C28B3" w:rsidRDefault="007C28B3">
      <w:pPr>
        <w:pStyle w:val="Plattetekst"/>
        <w:spacing w:before="9"/>
        <w:rPr>
          <w:sz w:val="17"/>
        </w:rPr>
      </w:pPr>
    </w:p>
    <w:p w:rsidR="007C28B3" w:rsidRDefault="00EC7079">
      <w:pPr>
        <w:pStyle w:val="Kop4"/>
        <w:spacing w:line="240" w:lineRule="auto"/>
      </w:pPr>
      <w:r>
        <w:t>Book published electronically:</w:t>
      </w:r>
    </w:p>
    <w:p w:rsidR="007C28B3" w:rsidRDefault="00EC7079">
      <w:pPr>
        <w:pStyle w:val="Plattetekst"/>
        <w:ind w:left="116" w:right="99"/>
      </w:pPr>
      <w:r>
        <w:t xml:space="preserve">Beijnum, M. van and Smits R., ed 2011. </w:t>
      </w:r>
      <w:r>
        <w:rPr>
          <w:i/>
        </w:rPr>
        <w:t>Conflict Management in East Africa</w:t>
      </w:r>
      <w:r>
        <w:t xml:space="preserve">, The Hague: the Conflict Research Unit, the Clingendael Institute, </w:t>
      </w:r>
      <w:hyperlink r:id="rId26">
        <w:r>
          <w:rPr>
            <w:u w:val="single"/>
          </w:rPr>
          <w:t>http://www.clingendael.nl/cru/</w:t>
        </w:r>
      </w:hyperlink>
      <w:r>
        <w:t>management-east- africa (accessed 28 November 2013).</w:t>
      </w:r>
    </w:p>
    <w:p w:rsidR="007C28B3" w:rsidRDefault="007C28B3">
      <w:pPr>
        <w:pStyle w:val="Plattetekst"/>
        <w:spacing w:before="1"/>
      </w:pPr>
    </w:p>
    <w:p w:rsidR="007C28B3" w:rsidRDefault="00EC7079">
      <w:pPr>
        <w:pStyle w:val="Kop4"/>
      </w:pPr>
      <w:r>
        <w:t>Organization as author:</w:t>
      </w:r>
    </w:p>
    <w:p w:rsidR="007C28B3" w:rsidRPr="00EC7079" w:rsidRDefault="00EC7079">
      <w:pPr>
        <w:ind w:left="116" w:right="147"/>
        <w:rPr>
          <w:sz w:val="18"/>
          <w:lang w:val="nl-NL"/>
        </w:rPr>
      </w:pPr>
      <w:r>
        <w:rPr>
          <w:sz w:val="18"/>
        </w:rPr>
        <w:t xml:space="preserve">The Clingendael Institute, </w:t>
      </w:r>
      <w:r>
        <w:rPr>
          <w:i/>
          <w:sz w:val="18"/>
        </w:rPr>
        <w:t>The International Monitor on Security</w:t>
      </w:r>
      <w:r>
        <w:rPr>
          <w:sz w:val="18"/>
        </w:rPr>
        <w:t xml:space="preserve">, 2013. </w:t>
      </w:r>
      <w:r w:rsidRPr="00EC7079">
        <w:rPr>
          <w:sz w:val="18"/>
          <w:lang w:val="nl-NL"/>
        </w:rPr>
        <w:t>May.</w:t>
      </w:r>
    </w:p>
    <w:p w:rsidR="007C28B3" w:rsidRPr="00EC7079" w:rsidRDefault="007C28B3">
      <w:pPr>
        <w:pStyle w:val="Plattetekst"/>
        <w:spacing w:before="11"/>
        <w:rPr>
          <w:sz w:val="17"/>
          <w:lang w:val="nl-NL"/>
        </w:rPr>
      </w:pPr>
    </w:p>
    <w:p w:rsidR="007C28B3" w:rsidRPr="00EC7079" w:rsidRDefault="00EC7079">
      <w:pPr>
        <w:pStyle w:val="Kop4"/>
        <w:rPr>
          <w:lang w:val="nl-NL"/>
        </w:rPr>
      </w:pPr>
      <w:r w:rsidRPr="00EC7079">
        <w:rPr>
          <w:lang w:val="nl-NL"/>
        </w:rPr>
        <w:t>Article</w:t>
      </w:r>
    </w:p>
    <w:p w:rsidR="007C28B3" w:rsidRPr="00EC7079" w:rsidRDefault="00EC7079">
      <w:pPr>
        <w:ind w:left="116" w:right="102"/>
        <w:rPr>
          <w:sz w:val="18"/>
          <w:lang w:val="nl-NL"/>
        </w:rPr>
      </w:pPr>
      <w:r w:rsidRPr="00EC7079">
        <w:rPr>
          <w:sz w:val="18"/>
          <w:lang w:val="nl-NL"/>
        </w:rPr>
        <w:t xml:space="preserve">Colijn, K., 2011. ‘WikiLeaks en de gevaren van laaghangend fruit’, </w:t>
      </w:r>
      <w:r w:rsidRPr="00EC7079">
        <w:rPr>
          <w:i/>
          <w:sz w:val="18"/>
          <w:lang w:val="nl-NL"/>
        </w:rPr>
        <w:t>Internationale Spectator</w:t>
      </w:r>
      <w:r w:rsidRPr="00EC7079">
        <w:rPr>
          <w:sz w:val="18"/>
          <w:lang w:val="nl-NL"/>
        </w:rPr>
        <w:t>, March, 65(3), 113–114.</w:t>
      </w:r>
    </w:p>
    <w:p w:rsidR="007C28B3" w:rsidRPr="00EC7079" w:rsidRDefault="007C28B3">
      <w:pPr>
        <w:pStyle w:val="Plattetekst"/>
        <w:spacing w:before="1"/>
        <w:rPr>
          <w:lang w:val="nl-NL"/>
        </w:rPr>
      </w:pPr>
    </w:p>
    <w:p w:rsidR="007C28B3" w:rsidRDefault="00EC7079">
      <w:pPr>
        <w:pStyle w:val="Plattetekst"/>
        <w:spacing w:line="219" w:lineRule="exact"/>
        <w:ind w:left="116" w:right="147"/>
      </w:pPr>
      <w:r>
        <w:t>Article in an online journal:</w:t>
      </w:r>
    </w:p>
    <w:p w:rsidR="007C28B3" w:rsidRDefault="00EC7079">
      <w:pPr>
        <w:pStyle w:val="Plattetekst"/>
        <w:ind w:left="116" w:right="149"/>
      </w:pPr>
      <w:r w:rsidRPr="00EC7079">
        <w:rPr>
          <w:lang w:val="nl-NL"/>
        </w:rPr>
        <w:t xml:space="preserve">Schaik, L. van, et al. 2012. </w:t>
      </w:r>
      <w:r>
        <w:t xml:space="preserve">‘Latest Developments in Sustainable Water Management’, </w:t>
      </w:r>
      <w:r>
        <w:rPr>
          <w:i/>
        </w:rPr>
        <w:t>Journal of Global Issues</w:t>
      </w:r>
      <w:r>
        <w:t xml:space="preserve">, 287(5), </w:t>
      </w:r>
      <w:hyperlink r:id="rId27">
        <w:r>
          <w:rPr>
            <w:color w:val="0000FF"/>
            <w:u w:val="single" w:color="0000FF"/>
          </w:rPr>
          <w:t xml:space="preserve">http://jgi.org/issues/v287n5/rfull/latdevsusman/schaik2012 </w:t>
        </w:r>
      </w:hyperlink>
      <w:r>
        <w:t>(accessed April 2014).</w:t>
      </w:r>
    </w:p>
    <w:p w:rsidR="007C28B3" w:rsidRDefault="007C28B3">
      <w:pPr>
        <w:pStyle w:val="Plattetekst"/>
        <w:spacing w:before="11"/>
        <w:rPr>
          <w:sz w:val="17"/>
        </w:rPr>
      </w:pPr>
    </w:p>
    <w:p w:rsidR="007C28B3" w:rsidRDefault="00EC7079">
      <w:pPr>
        <w:pStyle w:val="Plattetekst"/>
        <w:ind w:left="116" w:right="147"/>
      </w:pPr>
      <w:r>
        <w:t>Popular magazine article:</w:t>
      </w:r>
    </w:p>
    <w:p w:rsidR="007C28B3" w:rsidRDefault="00EC7079">
      <w:pPr>
        <w:spacing w:before="2"/>
        <w:ind w:left="116" w:right="147"/>
        <w:rPr>
          <w:sz w:val="18"/>
        </w:rPr>
      </w:pPr>
      <w:r>
        <w:rPr>
          <w:sz w:val="18"/>
        </w:rPr>
        <w:t xml:space="preserve">Drent, M. 2002. ‘NATO: five possible scenarios’, </w:t>
      </w:r>
      <w:r>
        <w:rPr>
          <w:i/>
          <w:sz w:val="18"/>
        </w:rPr>
        <w:t xml:space="preserve">European Review, </w:t>
      </w:r>
      <w:r>
        <w:rPr>
          <w:sz w:val="18"/>
        </w:rPr>
        <w:t>6 May, 12.</w:t>
      </w:r>
    </w:p>
    <w:p w:rsidR="007C28B3" w:rsidRDefault="007C28B3">
      <w:pPr>
        <w:pStyle w:val="Plattetekst"/>
        <w:spacing w:before="11"/>
        <w:rPr>
          <w:sz w:val="17"/>
        </w:rPr>
      </w:pPr>
    </w:p>
    <w:p w:rsidR="007C28B3" w:rsidRPr="00EC7079" w:rsidRDefault="00EC7079">
      <w:pPr>
        <w:pStyle w:val="Plattetekst"/>
        <w:spacing w:line="219" w:lineRule="exact"/>
        <w:ind w:left="116" w:right="147"/>
        <w:rPr>
          <w:lang w:val="nl-NL"/>
        </w:rPr>
      </w:pPr>
      <w:r w:rsidRPr="00EC7079">
        <w:rPr>
          <w:lang w:val="nl-NL"/>
        </w:rPr>
        <w:t>Newspaper article:</w:t>
      </w:r>
    </w:p>
    <w:p w:rsidR="007C28B3" w:rsidRDefault="00EC7079">
      <w:pPr>
        <w:pStyle w:val="Plattetekst"/>
        <w:ind w:left="116" w:right="430"/>
      </w:pPr>
      <w:r w:rsidRPr="00EC7079">
        <w:rPr>
          <w:lang w:val="nl-NL"/>
        </w:rPr>
        <w:t xml:space="preserve">Meer, S. van der, 2012. </w:t>
      </w:r>
      <w:r>
        <w:t xml:space="preserve">‘Iran-US: Nuclear Stalemate,’ </w:t>
      </w:r>
      <w:r>
        <w:rPr>
          <w:i/>
        </w:rPr>
        <w:t>Washington Post</w:t>
      </w:r>
      <w:r>
        <w:t>, 20 June, Foreign Policy section, East coast edition.</w:t>
      </w:r>
    </w:p>
    <w:p w:rsidR="007C28B3" w:rsidRDefault="007C28B3">
      <w:pPr>
        <w:sectPr w:rsidR="007C28B3">
          <w:pgSz w:w="11910" w:h="16840"/>
          <w:pgMar w:top="1360" w:right="1340" w:bottom="1200" w:left="1300" w:header="0" w:footer="1003" w:gutter="0"/>
          <w:cols w:space="708"/>
        </w:sectPr>
      </w:pPr>
    </w:p>
    <w:p w:rsidR="007C28B3" w:rsidRDefault="00EC7079">
      <w:pPr>
        <w:pStyle w:val="Kop4"/>
        <w:spacing w:before="39" w:line="240" w:lineRule="auto"/>
        <w:ind w:right="430"/>
      </w:pPr>
      <w:r>
        <w:lastRenderedPageBreak/>
        <w:t>Other print sources</w:t>
      </w:r>
    </w:p>
    <w:p w:rsidR="007C28B3" w:rsidRDefault="00EC7079">
      <w:pPr>
        <w:pStyle w:val="Plattetekst"/>
        <w:spacing w:before="2"/>
        <w:ind w:left="116" w:right="430"/>
      </w:pPr>
      <w:r>
        <w:t>Book review:</w:t>
      </w:r>
    </w:p>
    <w:p w:rsidR="007C28B3" w:rsidRDefault="00EC7079">
      <w:pPr>
        <w:pStyle w:val="Plattetekst"/>
        <w:spacing w:line="219" w:lineRule="exact"/>
        <w:ind w:left="116" w:right="430"/>
      </w:pPr>
      <w:r>
        <w:t>Okano-Heijmans, M., 2011. ’Endangered Species,’ review of The Socialist State, Ko Colijn,</w:t>
      </w:r>
    </w:p>
    <w:p w:rsidR="007C28B3" w:rsidRDefault="00EC7079">
      <w:pPr>
        <w:ind w:left="116" w:right="430"/>
        <w:rPr>
          <w:sz w:val="18"/>
        </w:rPr>
      </w:pPr>
      <w:r>
        <w:rPr>
          <w:i/>
          <w:sz w:val="18"/>
        </w:rPr>
        <w:t xml:space="preserve">Internationale Spectator </w:t>
      </w:r>
      <w:r>
        <w:rPr>
          <w:sz w:val="18"/>
        </w:rPr>
        <w:t>Book Review, 8 May, 16.</w:t>
      </w:r>
    </w:p>
    <w:p w:rsidR="007C28B3" w:rsidRDefault="007C28B3">
      <w:pPr>
        <w:pStyle w:val="Plattetekst"/>
        <w:spacing w:before="11"/>
        <w:rPr>
          <w:sz w:val="17"/>
        </w:rPr>
      </w:pPr>
    </w:p>
    <w:p w:rsidR="007C28B3" w:rsidRDefault="00EC7079">
      <w:pPr>
        <w:pStyle w:val="Plattetekst"/>
        <w:spacing w:line="219" w:lineRule="exact"/>
        <w:ind w:left="116" w:right="430"/>
      </w:pPr>
      <w:r>
        <w:t>Thesis or dissertation:</w:t>
      </w:r>
    </w:p>
    <w:p w:rsidR="007C28B3" w:rsidRDefault="00EC7079">
      <w:pPr>
        <w:pStyle w:val="Plattetekst"/>
        <w:ind w:left="116" w:right="430"/>
      </w:pPr>
      <w:r>
        <w:t>Meerts, P., 2014. ’Negotations: the Art of Duality’, PhD diss., Leiden University, November.</w:t>
      </w:r>
    </w:p>
    <w:p w:rsidR="007C28B3" w:rsidRDefault="007C28B3">
      <w:pPr>
        <w:pStyle w:val="Plattetekst"/>
        <w:spacing w:before="1"/>
      </w:pPr>
    </w:p>
    <w:p w:rsidR="007C28B3" w:rsidRDefault="00EC7079">
      <w:pPr>
        <w:pStyle w:val="Plattetekst"/>
        <w:spacing w:line="219" w:lineRule="exact"/>
        <w:ind w:left="116" w:right="430"/>
      </w:pPr>
      <w:r>
        <w:t>Paper presented at a meeting or conference:</w:t>
      </w:r>
    </w:p>
    <w:p w:rsidR="007C28B3" w:rsidRDefault="00EC7079">
      <w:pPr>
        <w:pStyle w:val="Plattetekst"/>
        <w:ind w:left="116" w:right="94"/>
      </w:pPr>
      <w:r>
        <w:t>Hemmer, J., 2013. ’Conflict and Mediation in Sudan: Recent Developments’, paper presented at the annual international meeting of the British Institute of Conflict Management, London,19-22 June.</w:t>
      </w:r>
    </w:p>
    <w:p w:rsidR="007C28B3" w:rsidRDefault="007C28B3">
      <w:pPr>
        <w:pStyle w:val="Plattetekst"/>
        <w:spacing w:before="11"/>
        <w:rPr>
          <w:sz w:val="17"/>
        </w:rPr>
      </w:pPr>
    </w:p>
    <w:p w:rsidR="007C28B3" w:rsidRDefault="00EC7079">
      <w:pPr>
        <w:pStyle w:val="Plattetekst"/>
        <w:spacing w:line="219" w:lineRule="exact"/>
        <w:ind w:left="116" w:right="430"/>
      </w:pPr>
      <w:r>
        <w:t>Conference proceedings:</w:t>
      </w:r>
    </w:p>
    <w:p w:rsidR="007C28B3" w:rsidRDefault="00EC7079">
      <w:pPr>
        <w:pStyle w:val="Plattetekst"/>
        <w:spacing w:line="242" w:lineRule="auto"/>
        <w:ind w:left="116" w:right="372"/>
      </w:pPr>
      <w:r>
        <w:t>‘Water Management in Africa, Proceedings of the roundtable on Water and Global Sustainability’, 2010. The Hague, the Clingendael Institute, April.</w:t>
      </w:r>
    </w:p>
    <w:p w:rsidR="007C28B3" w:rsidRDefault="007C28B3">
      <w:pPr>
        <w:pStyle w:val="Plattetekst"/>
        <w:spacing w:before="9"/>
        <w:rPr>
          <w:sz w:val="17"/>
        </w:rPr>
      </w:pPr>
    </w:p>
    <w:p w:rsidR="007C28B3" w:rsidRDefault="00EC7079">
      <w:pPr>
        <w:pStyle w:val="Plattetekst"/>
        <w:spacing w:line="219" w:lineRule="exact"/>
        <w:ind w:left="116" w:right="430"/>
      </w:pPr>
      <w:r>
        <w:t>Unpublished material:</w:t>
      </w:r>
    </w:p>
    <w:p w:rsidR="007C28B3" w:rsidRDefault="00EC7079">
      <w:pPr>
        <w:pStyle w:val="Plattetekst"/>
        <w:ind w:left="116" w:right="430"/>
      </w:pPr>
      <w:r>
        <w:t>Price, M., July 2002. ‘The Role of Non-state Actors in Fragile States’, unpublished manuscript,.</w:t>
      </w:r>
    </w:p>
    <w:p w:rsidR="007C28B3" w:rsidRDefault="007C28B3">
      <w:pPr>
        <w:pStyle w:val="Plattetekst"/>
        <w:spacing w:before="12"/>
        <w:rPr>
          <w:sz w:val="17"/>
        </w:rPr>
      </w:pPr>
    </w:p>
    <w:p w:rsidR="007C28B3" w:rsidRDefault="00EC7079">
      <w:pPr>
        <w:pStyle w:val="Kop4"/>
        <w:ind w:right="430"/>
      </w:pPr>
      <w:r>
        <w:t>Online sources</w:t>
      </w:r>
    </w:p>
    <w:p w:rsidR="007C28B3" w:rsidRDefault="00EC7079">
      <w:pPr>
        <w:pStyle w:val="Plattetekst"/>
        <w:ind w:left="116" w:right="430"/>
      </w:pPr>
      <w:r>
        <w:t>Web sites:</w:t>
      </w:r>
    </w:p>
    <w:p w:rsidR="007C28B3" w:rsidRDefault="00EC7079">
      <w:pPr>
        <w:pStyle w:val="Plattetekst"/>
        <w:spacing w:before="2"/>
        <w:ind w:left="116" w:right="707"/>
      </w:pPr>
      <w:r>
        <w:rPr>
          <w:i/>
        </w:rPr>
        <w:t>Clingendael Annual Report 2012</w:t>
      </w:r>
      <w:r>
        <w:t xml:space="preserve">, the Clingendael Institute, The Hague, 2013, </w:t>
      </w:r>
      <w:hyperlink r:id="rId28">
        <w:r>
          <w:t>http://www.clingendael.nl/sites/default/files/Annual%20Report%20Clingendael%202012.pdf</w:t>
        </w:r>
      </w:hyperlink>
      <w:r>
        <w:t xml:space="preserve"> (accessed April 2014).</w:t>
      </w:r>
    </w:p>
    <w:p w:rsidR="007C28B3" w:rsidRDefault="007C28B3">
      <w:pPr>
        <w:pStyle w:val="Plattetekst"/>
        <w:spacing w:before="11"/>
        <w:rPr>
          <w:sz w:val="17"/>
        </w:rPr>
      </w:pPr>
    </w:p>
    <w:p w:rsidR="007C28B3" w:rsidRDefault="00EC7079">
      <w:pPr>
        <w:pStyle w:val="Plattetekst"/>
        <w:spacing w:line="219" w:lineRule="exact"/>
        <w:ind w:left="116" w:right="430"/>
      </w:pPr>
      <w:r>
        <w:t>Weblog entry or comment:</w:t>
      </w:r>
    </w:p>
    <w:p w:rsidR="007C28B3" w:rsidRDefault="00EC7079">
      <w:pPr>
        <w:pStyle w:val="Plattetekst"/>
        <w:ind w:left="116" w:right="167"/>
      </w:pPr>
      <w:r>
        <w:t xml:space="preserve">Ham, P. van, 2010. Comment on ‘US-China relations: a new era,’ </w:t>
      </w:r>
      <w:r>
        <w:rPr>
          <w:i/>
        </w:rPr>
        <w:t>The Ingrid d’Hooghe China Blog</w:t>
      </w:r>
      <w:r>
        <w:t xml:space="preserve">, comment posted 7 April 2010, </w:t>
      </w:r>
      <w:hyperlink r:id="rId29">
        <w:r>
          <w:rPr>
            <w:color w:val="0000FF"/>
            <w:u w:val="single" w:color="0000FF"/>
          </w:rPr>
          <w:t>http://www.clingendael.nl/sites/default/files/dhooghe/chinablog.pdf</w:t>
        </w:r>
      </w:hyperlink>
    </w:p>
    <w:p w:rsidR="007C28B3" w:rsidRDefault="00EC7079">
      <w:pPr>
        <w:pStyle w:val="Plattetekst"/>
        <w:spacing w:before="2"/>
        <w:ind w:left="116" w:right="430"/>
      </w:pPr>
      <w:r>
        <w:t>(accessed March 2012)</w:t>
      </w:r>
    </w:p>
    <w:p w:rsidR="007C28B3" w:rsidRDefault="007C28B3">
      <w:pPr>
        <w:pStyle w:val="Plattetekst"/>
        <w:spacing w:before="11"/>
        <w:rPr>
          <w:sz w:val="17"/>
        </w:rPr>
      </w:pPr>
    </w:p>
    <w:p w:rsidR="007C28B3" w:rsidRDefault="00EC7079">
      <w:pPr>
        <w:pStyle w:val="Kop4"/>
        <w:ind w:right="430"/>
      </w:pPr>
      <w:r>
        <w:t>Other sources</w:t>
      </w:r>
    </w:p>
    <w:p w:rsidR="007C28B3" w:rsidRDefault="00EC7079">
      <w:pPr>
        <w:pStyle w:val="Plattetekst"/>
        <w:spacing w:line="218" w:lineRule="exact"/>
        <w:ind w:left="116" w:right="430"/>
      </w:pPr>
      <w:r>
        <w:t>Personal interview:</w:t>
      </w:r>
    </w:p>
    <w:p w:rsidR="007C28B3" w:rsidRDefault="00EC7079">
      <w:pPr>
        <w:pStyle w:val="Plattetekst"/>
        <w:ind w:left="116" w:right="430"/>
      </w:pPr>
      <w:r>
        <w:t>Personal interview, Briscoe, I., 2013. Buenos Aires, Argentina, 20 July.</w:t>
      </w:r>
    </w:p>
    <w:p w:rsidR="007C28B3" w:rsidRDefault="007C28B3">
      <w:pPr>
        <w:pStyle w:val="Plattetekst"/>
        <w:spacing w:before="1"/>
      </w:pPr>
    </w:p>
    <w:p w:rsidR="007C28B3" w:rsidRDefault="00EC7079">
      <w:pPr>
        <w:pStyle w:val="Plattetekst"/>
        <w:spacing w:line="219" w:lineRule="exact"/>
        <w:ind w:left="116" w:right="430"/>
      </w:pPr>
      <w:r>
        <w:t>Regional instruments and other:</w:t>
      </w:r>
    </w:p>
    <w:p w:rsidR="007C28B3" w:rsidRDefault="00EC7079">
      <w:pPr>
        <w:ind w:left="116" w:right="520"/>
        <w:rPr>
          <w:sz w:val="18"/>
        </w:rPr>
      </w:pPr>
      <w:r>
        <w:rPr>
          <w:i/>
          <w:sz w:val="18"/>
        </w:rPr>
        <w:t>The North Atlantic Treaty</w:t>
      </w:r>
      <w:r>
        <w:rPr>
          <w:sz w:val="18"/>
        </w:rPr>
        <w:t>, adopted 9 April 1949 Washington D.C., entered into force 24 August 1949.</w:t>
      </w:r>
    </w:p>
    <w:p w:rsidR="007C28B3" w:rsidRDefault="007C28B3">
      <w:pPr>
        <w:pStyle w:val="Plattetekst"/>
        <w:spacing w:before="11"/>
        <w:rPr>
          <w:sz w:val="17"/>
        </w:rPr>
      </w:pPr>
    </w:p>
    <w:p w:rsidR="007C28B3" w:rsidRDefault="00EC7079">
      <w:pPr>
        <w:pStyle w:val="Plattetekst"/>
        <w:spacing w:before="1"/>
        <w:ind w:left="116" w:right="500"/>
      </w:pPr>
      <w:r>
        <w:t>Oswood, R., Report of the Independent Commission to Revise the Rules of Engagement, ICRRE Doc. ICRRE/DC.5/2004/113, 27 June 2004, para. 12 (hereinafter ‘Report of the Independent Commission’).</w:t>
      </w:r>
    </w:p>
    <w:p w:rsidR="007C28B3" w:rsidRDefault="007C28B3">
      <w:pPr>
        <w:pStyle w:val="Plattetekst"/>
        <w:spacing w:before="1"/>
      </w:pPr>
    </w:p>
    <w:p w:rsidR="007C28B3" w:rsidRDefault="00EC7079">
      <w:pPr>
        <w:pStyle w:val="Plattetekst"/>
        <w:ind w:left="116" w:right="926"/>
      </w:pPr>
      <w:r>
        <w:t>Report of the Commissioner on Overseas Developments on the Rule of Law in Post-conflict Societies, COD Doc. S/2009/512, 2009, xv, para. 23 (hereinafter ‘Report of the COD ’).</w:t>
      </w:r>
    </w:p>
    <w:p w:rsidR="007C28B3" w:rsidRDefault="007C28B3">
      <w:pPr>
        <w:pStyle w:val="Plattetekst"/>
      </w:pPr>
    </w:p>
    <w:p w:rsidR="007C28B3" w:rsidRDefault="007C28B3">
      <w:pPr>
        <w:pStyle w:val="Plattetekst"/>
        <w:spacing w:before="11"/>
        <w:rPr>
          <w:sz w:val="17"/>
        </w:rPr>
      </w:pPr>
    </w:p>
    <w:p w:rsidR="007C28B3" w:rsidRDefault="00EC7079">
      <w:pPr>
        <w:pStyle w:val="Kop4"/>
        <w:ind w:right="430"/>
      </w:pPr>
      <w:r>
        <w:t>NB</w:t>
      </w:r>
    </w:p>
    <w:p w:rsidR="007C28B3" w:rsidRDefault="00EC7079">
      <w:pPr>
        <w:pStyle w:val="Plattetekst"/>
        <w:ind w:left="116" w:right="281"/>
      </w:pPr>
      <w:r>
        <w:t>References in English containing Dutch last names with the infix ‘van’, ‘van de’, ‘van der’, ‘de’, et. al., are listed under ‘v’, with ‘v’ written as capital. In Dutch the reference is listed alphabetically under the first letter of the last name.</w:t>
      </w:r>
    </w:p>
    <w:p w:rsidR="007C28B3" w:rsidRDefault="00EC7079">
      <w:pPr>
        <w:pStyle w:val="Plattetekst"/>
        <w:spacing w:line="218" w:lineRule="exact"/>
        <w:ind w:left="116" w:right="430"/>
      </w:pPr>
      <w:r>
        <w:t>Examples:</w:t>
      </w:r>
    </w:p>
    <w:p w:rsidR="007C28B3" w:rsidRDefault="00EC7079">
      <w:pPr>
        <w:tabs>
          <w:tab w:val="left" w:pos="4364"/>
        </w:tabs>
        <w:spacing w:line="218" w:lineRule="exact"/>
        <w:ind w:left="116" w:right="430"/>
        <w:rPr>
          <w:i/>
          <w:sz w:val="18"/>
        </w:rPr>
      </w:pPr>
      <w:r>
        <w:rPr>
          <w:i/>
          <w:sz w:val="18"/>
        </w:rPr>
        <w:t>English:</w:t>
      </w:r>
      <w:r>
        <w:rPr>
          <w:i/>
          <w:sz w:val="18"/>
        </w:rPr>
        <w:tab/>
        <w:t>Dutch:</w:t>
      </w:r>
    </w:p>
    <w:p w:rsidR="007C28B3" w:rsidRPr="00EC7079" w:rsidRDefault="00EC7079">
      <w:pPr>
        <w:pStyle w:val="Plattetekst"/>
        <w:tabs>
          <w:tab w:val="left" w:pos="4364"/>
        </w:tabs>
        <w:spacing w:line="218" w:lineRule="exact"/>
        <w:ind w:left="116" w:right="430"/>
        <w:rPr>
          <w:lang w:val="nl-NL"/>
        </w:rPr>
      </w:pPr>
      <w:r>
        <w:t>Van Schaik,</w:t>
      </w:r>
      <w:r>
        <w:rPr>
          <w:spacing w:val="-6"/>
        </w:rPr>
        <w:t xml:space="preserve"> </w:t>
      </w:r>
      <w:r>
        <w:t>L.,</w:t>
      </w:r>
      <w:r>
        <w:rPr>
          <w:spacing w:val="-2"/>
        </w:rPr>
        <w:t xml:space="preserve"> </w:t>
      </w:r>
      <w:r>
        <w:t>…..</w:t>
      </w:r>
      <w:r>
        <w:tab/>
      </w:r>
      <w:r w:rsidRPr="00EC7079">
        <w:rPr>
          <w:lang w:val="nl-NL"/>
        </w:rPr>
        <w:t>Schaik, L. van,</w:t>
      </w:r>
      <w:r w:rsidRPr="00EC7079">
        <w:rPr>
          <w:spacing w:val="-9"/>
          <w:lang w:val="nl-NL"/>
        </w:rPr>
        <w:t xml:space="preserve"> </w:t>
      </w:r>
      <w:r w:rsidRPr="00EC7079">
        <w:rPr>
          <w:lang w:val="nl-NL"/>
        </w:rPr>
        <w:t>….</w:t>
      </w:r>
    </w:p>
    <w:p w:rsidR="007C28B3" w:rsidRPr="00EC7079" w:rsidRDefault="00EC7079">
      <w:pPr>
        <w:pStyle w:val="Plattetekst"/>
        <w:tabs>
          <w:tab w:val="left" w:pos="4364"/>
        </w:tabs>
        <w:ind w:left="116" w:right="430"/>
        <w:rPr>
          <w:lang w:val="nl-NL"/>
        </w:rPr>
      </w:pPr>
      <w:r w:rsidRPr="00EC7079">
        <w:rPr>
          <w:lang w:val="nl-NL"/>
        </w:rPr>
        <w:t>Van der Meer,</w:t>
      </w:r>
      <w:r w:rsidRPr="00EC7079">
        <w:rPr>
          <w:spacing w:val="-8"/>
          <w:lang w:val="nl-NL"/>
        </w:rPr>
        <w:t xml:space="preserve"> </w:t>
      </w:r>
      <w:r w:rsidRPr="00EC7079">
        <w:rPr>
          <w:lang w:val="nl-NL"/>
        </w:rPr>
        <w:t>S.,</w:t>
      </w:r>
      <w:r w:rsidRPr="00EC7079">
        <w:rPr>
          <w:spacing w:val="-1"/>
          <w:lang w:val="nl-NL"/>
        </w:rPr>
        <w:t xml:space="preserve"> </w:t>
      </w:r>
      <w:r w:rsidRPr="00EC7079">
        <w:rPr>
          <w:lang w:val="nl-NL"/>
        </w:rPr>
        <w:t>….</w:t>
      </w:r>
      <w:r w:rsidRPr="00EC7079">
        <w:rPr>
          <w:lang w:val="nl-NL"/>
        </w:rPr>
        <w:tab/>
        <w:t>Meer, S. van der,</w:t>
      </w:r>
      <w:r w:rsidRPr="00EC7079">
        <w:rPr>
          <w:spacing w:val="-10"/>
          <w:lang w:val="nl-NL"/>
        </w:rPr>
        <w:t xml:space="preserve"> </w:t>
      </w:r>
      <w:r w:rsidRPr="00EC7079">
        <w:rPr>
          <w:lang w:val="nl-NL"/>
        </w:rPr>
        <w:t>...</w:t>
      </w:r>
    </w:p>
    <w:p w:rsidR="007C28B3" w:rsidRDefault="00EC7079">
      <w:pPr>
        <w:pStyle w:val="Plattetekst"/>
        <w:tabs>
          <w:tab w:val="left" w:pos="4364"/>
        </w:tabs>
        <w:spacing w:before="2"/>
        <w:ind w:left="116" w:right="430"/>
      </w:pPr>
      <w:r w:rsidRPr="00EC7079">
        <w:rPr>
          <w:lang w:val="nl-NL"/>
        </w:rPr>
        <w:t>De Wit,</w:t>
      </w:r>
      <w:r w:rsidRPr="00EC7079">
        <w:rPr>
          <w:spacing w:val="-3"/>
          <w:lang w:val="nl-NL"/>
        </w:rPr>
        <w:t xml:space="preserve"> </w:t>
      </w:r>
      <w:r w:rsidRPr="00EC7079">
        <w:rPr>
          <w:lang w:val="nl-NL"/>
        </w:rPr>
        <w:t>P.,</w:t>
      </w:r>
      <w:r w:rsidRPr="00EC7079">
        <w:rPr>
          <w:spacing w:val="-3"/>
          <w:lang w:val="nl-NL"/>
        </w:rPr>
        <w:t xml:space="preserve"> </w:t>
      </w:r>
      <w:r w:rsidRPr="00EC7079">
        <w:rPr>
          <w:lang w:val="nl-NL"/>
        </w:rPr>
        <w:t>…</w:t>
      </w:r>
      <w:r w:rsidRPr="00EC7079">
        <w:rPr>
          <w:lang w:val="nl-NL"/>
        </w:rPr>
        <w:tab/>
      </w:r>
      <w:r>
        <w:t>Wit, P. de,</w:t>
      </w:r>
      <w:r>
        <w:rPr>
          <w:spacing w:val="-7"/>
        </w:rPr>
        <w:t xml:space="preserve"> </w:t>
      </w:r>
      <w:r>
        <w:t>…</w:t>
      </w:r>
    </w:p>
    <w:sectPr w:rsidR="007C28B3">
      <w:pgSz w:w="11910" w:h="16840"/>
      <w:pgMar w:top="1360" w:right="1320" w:bottom="1200" w:left="1300" w:header="0" w:footer="10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40" w:rsidRDefault="00144B40">
      <w:r>
        <w:separator/>
      </w:r>
    </w:p>
  </w:endnote>
  <w:endnote w:type="continuationSeparator" w:id="0">
    <w:p w:rsidR="00144B40" w:rsidRDefault="0014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B3" w:rsidRDefault="00545601">
    <w:pPr>
      <w:pStyle w:val="Plattetekst"/>
      <w:spacing w:line="14" w:lineRule="auto"/>
      <w:rPr>
        <w:sz w:val="20"/>
      </w:rPr>
    </w:pPr>
    <w:r>
      <w:rPr>
        <w:noProof/>
        <w:lang w:val="en-CA" w:eastAsia="en-CA"/>
      </w:rPr>
      <mc:AlternateContent>
        <mc:Choice Requires="wps">
          <w:drawing>
            <wp:anchor distT="0" distB="0" distL="114300" distR="114300" simplePos="0" relativeHeight="503301056" behindDoc="1" locked="0" layoutInCell="1" allowOverlap="1" wp14:anchorId="49B50DD0" wp14:editId="41DFB629">
              <wp:simplePos x="0" y="0"/>
              <wp:positionH relativeFrom="page">
                <wp:posOffset>3719830</wp:posOffset>
              </wp:positionH>
              <wp:positionV relativeFrom="page">
                <wp:posOffset>9605010</wp:posOffset>
              </wp:positionV>
              <wp:extent cx="121920" cy="165735"/>
              <wp:effectExtent l="0" t="381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8B3" w:rsidRDefault="00EC7079">
                          <w:pPr>
                            <w:spacing w:line="245" w:lineRule="exact"/>
                            <w:ind w:left="40"/>
                            <w:rPr>
                              <w:rFonts w:ascii="Calibri"/>
                            </w:rPr>
                          </w:pPr>
                          <w:r>
                            <w:fldChar w:fldCharType="begin"/>
                          </w:r>
                          <w:r>
                            <w:rPr>
                              <w:rFonts w:ascii="Calibri"/>
                            </w:rPr>
                            <w:instrText xml:space="preserve"> PAGE </w:instrText>
                          </w:r>
                          <w:r>
                            <w:fldChar w:fldCharType="separate"/>
                          </w:r>
                          <w:r w:rsidR="00BE2FA4">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9pt;margin-top:756.3pt;width:9.6pt;height:13.05pt;z-index:-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Ua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0AxYp4K8tHUK6SoCwQ&#10;IYw7MGqpvmPUw+jIsP62J4ph1LwXoH47ZyZDTcZ2MoigcDXDBqPRXJtxHu07xXc1II/vS8gbeCEV&#10;d+p9yuL4rmAcOBLH0WXnzfm/83oasKtfAAAA//8DAFBLAwQUAAYACAAAACEAiU6d1eEAAAANAQAA&#10;DwAAAGRycy9kb3ducmV2LnhtbEyPwU7DMBBE70j8g7VI3KjdooQ0jVNVCE5IiDQcODqxm1iN1yF2&#10;2/D3bE9w3JnR7JtiO7uBnc0UrEcJy4UAZrD12mIn4bN+fciAhahQq8GjkfBjAmzL25tC5dpfsDLn&#10;fewYlWDIlYQ+xjHnPLS9cSos/GiQvIOfnIp0Th3Xk7pQuRv4SoiUO2WRPvRqNM+9aY/7k5Ow+8Lq&#10;xX6/Nx/VobJ1vRb4lh6lvL+bdxtg0czxLwxXfEKHkpgaf0Id2CAhyRJCj2Qky1UKjCKpSGhec5Ue&#10;syfgZcH/ryh/AQAA//8DAFBLAQItABQABgAIAAAAIQC2gziS/gAAAOEBAAATAAAAAAAAAAAAAAAA&#10;AAAAAABbQ29udGVudF9UeXBlc10ueG1sUEsBAi0AFAAGAAgAAAAhADj9If/WAAAAlAEAAAsAAAAA&#10;AAAAAAAAAAAALwEAAF9yZWxzLy5yZWxzUEsBAi0AFAAGAAgAAAAhANdEhRqrAgAAqAUAAA4AAAAA&#10;AAAAAAAAAAAALgIAAGRycy9lMm9Eb2MueG1sUEsBAi0AFAAGAAgAAAAhAIlOndXhAAAADQEAAA8A&#10;AAAAAAAAAAAAAAAABQUAAGRycy9kb3ducmV2LnhtbFBLBQYAAAAABAAEAPMAAAATBgAAAAA=&#10;" filled="f" stroked="f">
              <v:textbox inset="0,0,0,0">
                <w:txbxContent>
                  <w:p w:rsidR="007C28B3" w:rsidRDefault="00EC7079">
                    <w:pPr>
                      <w:spacing w:line="245" w:lineRule="exact"/>
                      <w:ind w:left="40"/>
                      <w:rPr>
                        <w:rFonts w:ascii="Calibri"/>
                      </w:rPr>
                    </w:pPr>
                    <w:r>
                      <w:fldChar w:fldCharType="begin"/>
                    </w:r>
                    <w:r>
                      <w:rPr>
                        <w:rFonts w:ascii="Calibri"/>
                      </w:rPr>
                      <w:instrText xml:space="preserve"> PAGE </w:instrText>
                    </w:r>
                    <w:r>
                      <w:fldChar w:fldCharType="separate"/>
                    </w:r>
                    <w:r w:rsidR="00BE2FA4">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B3" w:rsidRDefault="00545601">
    <w:pPr>
      <w:pStyle w:val="Plattetekst"/>
      <w:spacing w:line="14" w:lineRule="auto"/>
      <w:rPr>
        <w:sz w:val="20"/>
      </w:rPr>
    </w:pPr>
    <w:r>
      <w:rPr>
        <w:noProof/>
        <w:lang w:val="en-CA" w:eastAsia="en-CA"/>
      </w:rPr>
      <mc:AlternateContent>
        <mc:Choice Requires="wps">
          <w:drawing>
            <wp:anchor distT="0" distB="0" distL="114300" distR="114300" simplePos="0" relativeHeight="503301080" behindDoc="1" locked="0" layoutInCell="1" allowOverlap="1">
              <wp:simplePos x="0" y="0"/>
              <wp:positionH relativeFrom="page">
                <wp:posOffset>3719830</wp:posOffset>
              </wp:positionH>
              <wp:positionV relativeFrom="page">
                <wp:posOffset>9916160</wp:posOffset>
              </wp:positionV>
              <wp:extent cx="12192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8B3" w:rsidRDefault="00EC7079">
                          <w:pPr>
                            <w:spacing w:line="245" w:lineRule="exact"/>
                            <w:ind w:left="40"/>
                            <w:rPr>
                              <w:rFonts w:ascii="Calibri"/>
                            </w:rPr>
                          </w:pPr>
                          <w:r>
                            <w:fldChar w:fldCharType="begin"/>
                          </w:r>
                          <w:r>
                            <w:rPr>
                              <w:rFonts w:ascii="Calibri"/>
                            </w:rPr>
                            <w:instrText xml:space="preserve"> PAGE </w:instrText>
                          </w:r>
                          <w:r>
                            <w:fldChar w:fldCharType="separate"/>
                          </w:r>
                          <w:r w:rsidR="00BE2FA4">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9pt;margin-top:780.8pt;width:9.6pt;height:13.05pt;z-index:-15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kw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QmEZyUcBTOZ4vLmc3NJ+l0uVPavKOyRdbI&#10;sILGO3ByuNNmdJ1cbCwhC8a5az4XzzYAc9yB0HDVntkkXC9/JEGyWW6WsRdH840XB3nu3RTr2JsX&#10;4WKWX+brdR7+tHHDOG1YVVFhw0y6CuM/69tR4aMiTsrSkrPKwtmUtNpt11yhAwFdF+47FuTMzX+e&#10;hqsXcHlBKYzi4DZKvGK+XHhxEc+8ZBEsvSBMbpN5ECdxXjyndMcE/XdKqM9wMotmo5Z+yy1w32tu&#10;JG2ZgcnBWZvh5cmJpFaBG1G51hrC+GiflcKm/1QKaPfUaKdXK9FRrGbYDu5hnJ7BVlaPIGAlQWCg&#10;RZh6YDRSfceohwmSYf1tTxTFiL8X8AjsuJkMNRnbySCihKsZNhiN5tqMY2nfKbZrAHl8ZkLewEOp&#10;mROxfVFjFsDALmAqOC7HCWbHzvnaeT3N2dUvAAAA//8DAFBLAwQUAAYACAAAACEAkVpI3uEAAAAN&#10;AQAADwAAAGRycy9kb3ducmV2LnhtbEyPwU7DMBBE75X4B2uRuLV2kZKGEKeqEJyQEGk4cHRiN7Ea&#10;r0PstuHv2Z7ocWdGs2+K7ewGdjZTsB4lrFcCmMHWa4udhK/6bZkBC1GhVoNHI+HXBNiWd4tC5dpf&#10;sDLnfewYlWDIlYQ+xjHnPLS9cSqs/GiQvIOfnIp0Th3Xk7pQuRv4oxApd8oifejVaF560x73Jydh&#10;943Vq/35aD6rQ2Xr+knge3qU8uF+3j0Di2aO/2G44hM6lMTU+BPqwAYJSZYQeiQjSdcpMIqkIqF5&#10;zVXKNhvgZcFvV5R/AAAA//8DAFBLAQItABQABgAIAAAAIQC2gziS/gAAAOEBAAATAAAAAAAAAAAA&#10;AAAAAAAAAABbQ29udGVudF9UeXBlc10ueG1sUEsBAi0AFAAGAAgAAAAhADj9If/WAAAAlAEAAAsA&#10;AAAAAAAAAAAAAAAALwEAAF9yZWxzLy5yZWxzUEsBAi0AFAAGAAgAAAAhAJCy+TCuAgAArwUAAA4A&#10;AAAAAAAAAAAAAAAALgIAAGRycy9lMm9Eb2MueG1sUEsBAi0AFAAGAAgAAAAhAJFaSN7hAAAADQEA&#10;AA8AAAAAAAAAAAAAAAAACAUAAGRycy9kb3ducmV2LnhtbFBLBQYAAAAABAAEAPMAAAAWBgAAAAA=&#10;" filled="f" stroked="f">
              <v:textbox inset="0,0,0,0">
                <w:txbxContent>
                  <w:p w:rsidR="007C28B3" w:rsidRDefault="00EC7079">
                    <w:pPr>
                      <w:spacing w:line="245" w:lineRule="exact"/>
                      <w:ind w:left="40"/>
                      <w:rPr>
                        <w:rFonts w:ascii="Calibri"/>
                      </w:rPr>
                    </w:pPr>
                    <w:r>
                      <w:fldChar w:fldCharType="begin"/>
                    </w:r>
                    <w:r>
                      <w:rPr>
                        <w:rFonts w:ascii="Calibri"/>
                      </w:rPr>
                      <w:instrText xml:space="preserve"> PAGE </w:instrText>
                    </w:r>
                    <w:r>
                      <w:fldChar w:fldCharType="separate"/>
                    </w:r>
                    <w:r w:rsidR="00BE2FA4">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40" w:rsidRDefault="00144B40">
      <w:r>
        <w:separator/>
      </w:r>
    </w:p>
  </w:footnote>
  <w:footnote w:type="continuationSeparator" w:id="0">
    <w:p w:rsidR="00144B40" w:rsidRDefault="00144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B21"/>
    <w:multiLevelType w:val="hybridMultilevel"/>
    <w:tmpl w:val="F85C7C14"/>
    <w:lvl w:ilvl="0" w:tplc="8D08E526">
      <w:start w:val="1"/>
      <w:numFmt w:val="lowerLetter"/>
      <w:lvlText w:val="%1)"/>
      <w:lvlJc w:val="left"/>
      <w:pPr>
        <w:ind w:left="1076" w:hanging="252"/>
      </w:pPr>
      <w:rPr>
        <w:rFonts w:ascii="Verdana" w:eastAsia="Verdana" w:hAnsi="Verdana" w:cs="Verdana" w:hint="default"/>
        <w:w w:val="100"/>
        <w:sz w:val="18"/>
        <w:szCs w:val="18"/>
      </w:rPr>
    </w:lvl>
    <w:lvl w:ilvl="1" w:tplc="92B6D64E">
      <w:numFmt w:val="bullet"/>
      <w:lvlText w:val="•"/>
      <w:lvlJc w:val="left"/>
      <w:pPr>
        <w:ind w:left="1900" w:hanging="252"/>
      </w:pPr>
      <w:rPr>
        <w:rFonts w:hint="default"/>
      </w:rPr>
    </w:lvl>
    <w:lvl w:ilvl="2" w:tplc="09984E8A">
      <w:numFmt w:val="bullet"/>
      <w:lvlText w:val="•"/>
      <w:lvlJc w:val="left"/>
      <w:pPr>
        <w:ind w:left="2721" w:hanging="252"/>
      </w:pPr>
      <w:rPr>
        <w:rFonts w:hint="default"/>
      </w:rPr>
    </w:lvl>
    <w:lvl w:ilvl="3" w:tplc="75BC0EF2">
      <w:numFmt w:val="bullet"/>
      <w:lvlText w:val="•"/>
      <w:lvlJc w:val="left"/>
      <w:pPr>
        <w:ind w:left="3541" w:hanging="252"/>
      </w:pPr>
      <w:rPr>
        <w:rFonts w:hint="default"/>
      </w:rPr>
    </w:lvl>
    <w:lvl w:ilvl="4" w:tplc="CF86C970">
      <w:numFmt w:val="bullet"/>
      <w:lvlText w:val="•"/>
      <w:lvlJc w:val="left"/>
      <w:pPr>
        <w:ind w:left="4362" w:hanging="252"/>
      </w:pPr>
      <w:rPr>
        <w:rFonts w:hint="default"/>
      </w:rPr>
    </w:lvl>
    <w:lvl w:ilvl="5" w:tplc="70B8BBF8">
      <w:numFmt w:val="bullet"/>
      <w:lvlText w:val="•"/>
      <w:lvlJc w:val="left"/>
      <w:pPr>
        <w:ind w:left="5183" w:hanging="252"/>
      </w:pPr>
      <w:rPr>
        <w:rFonts w:hint="default"/>
      </w:rPr>
    </w:lvl>
    <w:lvl w:ilvl="6" w:tplc="BCB26EE0">
      <w:numFmt w:val="bullet"/>
      <w:lvlText w:val="•"/>
      <w:lvlJc w:val="left"/>
      <w:pPr>
        <w:ind w:left="6003" w:hanging="252"/>
      </w:pPr>
      <w:rPr>
        <w:rFonts w:hint="default"/>
      </w:rPr>
    </w:lvl>
    <w:lvl w:ilvl="7" w:tplc="1D02413E">
      <w:numFmt w:val="bullet"/>
      <w:lvlText w:val="•"/>
      <w:lvlJc w:val="left"/>
      <w:pPr>
        <w:ind w:left="6824" w:hanging="252"/>
      </w:pPr>
      <w:rPr>
        <w:rFonts w:hint="default"/>
      </w:rPr>
    </w:lvl>
    <w:lvl w:ilvl="8" w:tplc="35D4841A">
      <w:numFmt w:val="bullet"/>
      <w:lvlText w:val="•"/>
      <w:lvlJc w:val="left"/>
      <w:pPr>
        <w:ind w:left="7645" w:hanging="252"/>
      </w:pPr>
      <w:rPr>
        <w:rFonts w:hint="default"/>
      </w:rPr>
    </w:lvl>
  </w:abstractNum>
  <w:abstractNum w:abstractNumId="1">
    <w:nsid w:val="07CA0998"/>
    <w:multiLevelType w:val="hybridMultilevel"/>
    <w:tmpl w:val="55C01984"/>
    <w:lvl w:ilvl="0" w:tplc="3BACAC72">
      <w:numFmt w:val="bullet"/>
      <w:lvlText w:val="o"/>
      <w:lvlJc w:val="left"/>
      <w:pPr>
        <w:ind w:left="824" w:hanging="360"/>
      </w:pPr>
      <w:rPr>
        <w:rFonts w:ascii="Courier New" w:eastAsia="Courier New" w:hAnsi="Courier New" w:cs="Courier New" w:hint="default"/>
        <w:spacing w:val="-2"/>
        <w:w w:val="99"/>
        <w:sz w:val="18"/>
        <w:szCs w:val="18"/>
      </w:rPr>
    </w:lvl>
    <w:lvl w:ilvl="1" w:tplc="07209D82">
      <w:numFmt w:val="bullet"/>
      <w:lvlText w:val="•"/>
      <w:lvlJc w:val="left"/>
      <w:pPr>
        <w:ind w:left="1664" w:hanging="360"/>
      </w:pPr>
      <w:rPr>
        <w:rFonts w:hint="default"/>
      </w:rPr>
    </w:lvl>
    <w:lvl w:ilvl="2" w:tplc="0B60B2F4">
      <w:numFmt w:val="bullet"/>
      <w:lvlText w:val="•"/>
      <w:lvlJc w:val="left"/>
      <w:pPr>
        <w:ind w:left="2509" w:hanging="360"/>
      </w:pPr>
      <w:rPr>
        <w:rFonts w:hint="default"/>
      </w:rPr>
    </w:lvl>
    <w:lvl w:ilvl="3" w:tplc="C9625E4E">
      <w:numFmt w:val="bullet"/>
      <w:lvlText w:val="•"/>
      <w:lvlJc w:val="left"/>
      <w:pPr>
        <w:ind w:left="3353" w:hanging="360"/>
      </w:pPr>
      <w:rPr>
        <w:rFonts w:hint="default"/>
      </w:rPr>
    </w:lvl>
    <w:lvl w:ilvl="4" w:tplc="6BE6F906">
      <w:numFmt w:val="bullet"/>
      <w:lvlText w:val="•"/>
      <w:lvlJc w:val="left"/>
      <w:pPr>
        <w:ind w:left="4198" w:hanging="360"/>
      </w:pPr>
      <w:rPr>
        <w:rFonts w:hint="default"/>
      </w:rPr>
    </w:lvl>
    <w:lvl w:ilvl="5" w:tplc="F9DC0154">
      <w:numFmt w:val="bullet"/>
      <w:lvlText w:val="•"/>
      <w:lvlJc w:val="left"/>
      <w:pPr>
        <w:ind w:left="5043" w:hanging="360"/>
      </w:pPr>
      <w:rPr>
        <w:rFonts w:hint="default"/>
      </w:rPr>
    </w:lvl>
    <w:lvl w:ilvl="6" w:tplc="386E46B2">
      <w:numFmt w:val="bullet"/>
      <w:lvlText w:val="•"/>
      <w:lvlJc w:val="left"/>
      <w:pPr>
        <w:ind w:left="5887" w:hanging="360"/>
      </w:pPr>
      <w:rPr>
        <w:rFonts w:hint="default"/>
      </w:rPr>
    </w:lvl>
    <w:lvl w:ilvl="7" w:tplc="B18E235A">
      <w:numFmt w:val="bullet"/>
      <w:lvlText w:val="•"/>
      <w:lvlJc w:val="left"/>
      <w:pPr>
        <w:ind w:left="6732" w:hanging="360"/>
      </w:pPr>
      <w:rPr>
        <w:rFonts w:hint="default"/>
      </w:rPr>
    </w:lvl>
    <w:lvl w:ilvl="8" w:tplc="A9128B7E">
      <w:numFmt w:val="bullet"/>
      <w:lvlText w:val="•"/>
      <w:lvlJc w:val="left"/>
      <w:pPr>
        <w:ind w:left="7577" w:hanging="360"/>
      </w:pPr>
      <w:rPr>
        <w:rFonts w:hint="default"/>
      </w:rPr>
    </w:lvl>
  </w:abstractNum>
  <w:abstractNum w:abstractNumId="2">
    <w:nsid w:val="0A1156ED"/>
    <w:multiLevelType w:val="hybridMultilevel"/>
    <w:tmpl w:val="F6C474B8"/>
    <w:lvl w:ilvl="0" w:tplc="1CBA7584">
      <w:numFmt w:val="bullet"/>
      <w:lvlText w:val="-"/>
      <w:lvlJc w:val="left"/>
      <w:pPr>
        <w:ind w:left="836" w:hanging="360"/>
      </w:pPr>
      <w:rPr>
        <w:rFonts w:ascii="Verdana" w:eastAsia="Verdana" w:hAnsi="Verdana" w:cs="Verdana" w:hint="default"/>
        <w:spacing w:val="-2"/>
        <w:w w:val="100"/>
        <w:sz w:val="18"/>
        <w:szCs w:val="18"/>
      </w:rPr>
    </w:lvl>
    <w:lvl w:ilvl="1" w:tplc="CC78C3F0">
      <w:numFmt w:val="bullet"/>
      <w:lvlText w:val="•"/>
      <w:lvlJc w:val="left"/>
      <w:pPr>
        <w:ind w:left="1684" w:hanging="360"/>
      </w:pPr>
      <w:rPr>
        <w:rFonts w:hint="default"/>
      </w:rPr>
    </w:lvl>
    <w:lvl w:ilvl="2" w:tplc="7C5EAC70">
      <w:numFmt w:val="bullet"/>
      <w:lvlText w:val="•"/>
      <w:lvlJc w:val="left"/>
      <w:pPr>
        <w:ind w:left="2529" w:hanging="360"/>
      </w:pPr>
      <w:rPr>
        <w:rFonts w:hint="default"/>
      </w:rPr>
    </w:lvl>
    <w:lvl w:ilvl="3" w:tplc="E7CAE9AE">
      <w:numFmt w:val="bullet"/>
      <w:lvlText w:val="•"/>
      <w:lvlJc w:val="left"/>
      <w:pPr>
        <w:ind w:left="3373" w:hanging="360"/>
      </w:pPr>
      <w:rPr>
        <w:rFonts w:hint="default"/>
      </w:rPr>
    </w:lvl>
    <w:lvl w:ilvl="4" w:tplc="6720B04A">
      <w:numFmt w:val="bullet"/>
      <w:lvlText w:val="•"/>
      <w:lvlJc w:val="left"/>
      <w:pPr>
        <w:ind w:left="4218" w:hanging="360"/>
      </w:pPr>
      <w:rPr>
        <w:rFonts w:hint="default"/>
      </w:rPr>
    </w:lvl>
    <w:lvl w:ilvl="5" w:tplc="8DAA19FC">
      <w:numFmt w:val="bullet"/>
      <w:lvlText w:val="•"/>
      <w:lvlJc w:val="left"/>
      <w:pPr>
        <w:ind w:left="5063" w:hanging="360"/>
      </w:pPr>
      <w:rPr>
        <w:rFonts w:hint="default"/>
      </w:rPr>
    </w:lvl>
    <w:lvl w:ilvl="6" w:tplc="5D980208">
      <w:numFmt w:val="bullet"/>
      <w:lvlText w:val="•"/>
      <w:lvlJc w:val="left"/>
      <w:pPr>
        <w:ind w:left="5907" w:hanging="360"/>
      </w:pPr>
      <w:rPr>
        <w:rFonts w:hint="default"/>
      </w:rPr>
    </w:lvl>
    <w:lvl w:ilvl="7" w:tplc="59A0A03A">
      <w:numFmt w:val="bullet"/>
      <w:lvlText w:val="•"/>
      <w:lvlJc w:val="left"/>
      <w:pPr>
        <w:ind w:left="6752" w:hanging="360"/>
      </w:pPr>
      <w:rPr>
        <w:rFonts w:hint="default"/>
      </w:rPr>
    </w:lvl>
    <w:lvl w:ilvl="8" w:tplc="4FD61FEC">
      <w:numFmt w:val="bullet"/>
      <w:lvlText w:val="•"/>
      <w:lvlJc w:val="left"/>
      <w:pPr>
        <w:ind w:left="7597" w:hanging="360"/>
      </w:pPr>
      <w:rPr>
        <w:rFonts w:hint="default"/>
      </w:rPr>
    </w:lvl>
  </w:abstractNum>
  <w:abstractNum w:abstractNumId="3">
    <w:nsid w:val="205053F8"/>
    <w:multiLevelType w:val="hybridMultilevel"/>
    <w:tmpl w:val="22ACA2AE"/>
    <w:lvl w:ilvl="0" w:tplc="6C2AEF92">
      <w:numFmt w:val="bullet"/>
      <w:lvlText w:val="-"/>
      <w:lvlJc w:val="left"/>
      <w:pPr>
        <w:ind w:left="924" w:hanging="360"/>
      </w:pPr>
      <w:rPr>
        <w:rFonts w:ascii="Verdana" w:eastAsia="Verdana" w:hAnsi="Verdana" w:cs="Verdana" w:hint="default"/>
        <w:spacing w:val="-3"/>
        <w:w w:val="100"/>
        <w:sz w:val="18"/>
        <w:szCs w:val="18"/>
      </w:rPr>
    </w:lvl>
    <w:lvl w:ilvl="1" w:tplc="631ED5C4">
      <w:numFmt w:val="bullet"/>
      <w:lvlText w:val="•"/>
      <w:lvlJc w:val="left"/>
      <w:pPr>
        <w:ind w:left="1772" w:hanging="360"/>
      </w:pPr>
      <w:rPr>
        <w:rFonts w:hint="default"/>
      </w:rPr>
    </w:lvl>
    <w:lvl w:ilvl="2" w:tplc="60A2C0AC">
      <w:numFmt w:val="bullet"/>
      <w:lvlText w:val="•"/>
      <w:lvlJc w:val="left"/>
      <w:pPr>
        <w:ind w:left="2625" w:hanging="360"/>
      </w:pPr>
      <w:rPr>
        <w:rFonts w:hint="default"/>
      </w:rPr>
    </w:lvl>
    <w:lvl w:ilvl="3" w:tplc="2BB2A8D2">
      <w:numFmt w:val="bullet"/>
      <w:lvlText w:val="•"/>
      <w:lvlJc w:val="left"/>
      <w:pPr>
        <w:ind w:left="3477" w:hanging="360"/>
      </w:pPr>
      <w:rPr>
        <w:rFonts w:hint="default"/>
      </w:rPr>
    </w:lvl>
    <w:lvl w:ilvl="4" w:tplc="1694AAA0">
      <w:numFmt w:val="bullet"/>
      <w:lvlText w:val="•"/>
      <w:lvlJc w:val="left"/>
      <w:pPr>
        <w:ind w:left="4330" w:hanging="360"/>
      </w:pPr>
      <w:rPr>
        <w:rFonts w:hint="default"/>
      </w:rPr>
    </w:lvl>
    <w:lvl w:ilvl="5" w:tplc="370633BA">
      <w:numFmt w:val="bullet"/>
      <w:lvlText w:val="•"/>
      <w:lvlJc w:val="left"/>
      <w:pPr>
        <w:ind w:left="5183" w:hanging="360"/>
      </w:pPr>
      <w:rPr>
        <w:rFonts w:hint="default"/>
      </w:rPr>
    </w:lvl>
    <w:lvl w:ilvl="6" w:tplc="E8165582">
      <w:numFmt w:val="bullet"/>
      <w:lvlText w:val="•"/>
      <w:lvlJc w:val="left"/>
      <w:pPr>
        <w:ind w:left="6035" w:hanging="360"/>
      </w:pPr>
      <w:rPr>
        <w:rFonts w:hint="default"/>
      </w:rPr>
    </w:lvl>
    <w:lvl w:ilvl="7" w:tplc="F77E688A">
      <w:numFmt w:val="bullet"/>
      <w:lvlText w:val="•"/>
      <w:lvlJc w:val="left"/>
      <w:pPr>
        <w:ind w:left="6888" w:hanging="360"/>
      </w:pPr>
      <w:rPr>
        <w:rFonts w:hint="default"/>
      </w:rPr>
    </w:lvl>
    <w:lvl w:ilvl="8" w:tplc="EC1C9056">
      <w:numFmt w:val="bullet"/>
      <w:lvlText w:val="•"/>
      <w:lvlJc w:val="left"/>
      <w:pPr>
        <w:ind w:left="7741" w:hanging="360"/>
      </w:pPr>
      <w:rPr>
        <w:rFonts w:hint="default"/>
      </w:rPr>
    </w:lvl>
  </w:abstractNum>
  <w:abstractNum w:abstractNumId="4">
    <w:nsid w:val="2D8E5BF0"/>
    <w:multiLevelType w:val="hybridMultilevel"/>
    <w:tmpl w:val="9F227320"/>
    <w:lvl w:ilvl="0" w:tplc="0134939A">
      <w:numFmt w:val="bullet"/>
      <w:lvlText w:val="-"/>
      <w:lvlJc w:val="left"/>
      <w:pPr>
        <w:ind w:left="824" w:hanging="360"/>
      </w:pPr>
      <w:rPr>
        <w:rFonts w:ascii="Verdana" w:eastAsia="Verdana" w:hAnsi="Verdana" w:cs="Verdana" w:hint="default"/>
        <w:spacing w:val="-2"/>
        <w:w w:val="100"/>
        <w:sz w:val="18"/>
        <w:szCs w:val="18"/>
      </w:rPr>
    </w:lvl>
    <w:lvl w:ilvl="1" w:tplc="28DA9A3A">
      <w:numFmt w:val="bullet"/>
      <w:lvlText w:val="•"/>
      <w:lvlJc w:val="left"/>
      <w:pPr>
        <w:ind w:left="1666" w:hanging="360"/>
      </w:pPr>
      <w:rPr>
        <w:rFonts w:hint="default"/>
      </w:rPr>
    </w:lvl>
    <w:lvl w:ilvl="2" w:tplc="4F9809B6">
      <w:numFmt w:val="bullet"/>
      <w:lvlText w:val="•"/>
      <w:lvlJc w:val="left"/>
      <w:pPr>
        <w:ind w:left="2513" w:hanging="360"/>
      </w:pPr>
      <w:rPr>
        <w:rFonts w:hint="default"/>
      </w:rPr>
    </w:lvl>
    <w:lvl w:ilvl="3" w:tplc="D1B47E94">
      <w:numFmt w:val="bullet"/>
      <w:lvlText w:val="•"/>
      <w:lvlJc w:val="left"/>
      <w:pPr>
        <w:ind w:left="3359" w:hanging="360"/>
      </w:pPr>
      <w:rPr>
        <w:rFonts w:hint="default"/>
      </w:rPr>
    </w:lvl>
    <w:lvl w:ilvl="4" w:tplc="548A876E">
      <w:numFmt w:val="bullet"/>
      <w:lvlText w:val="•"/>
      <w:lvlJc w:val="left"/>
      <w:pPr>
        <w:ind w:left="4206" w:hanging="360"/>
      </w:pPr>
      <w:rPr>
        <w:rFonts w:hint="default"/>
      </w:rPr>
    </w:lvl>
    <w:lvl w:ilvl="5" w:tplc="1ED8BEC2">
      <w:numFmt w:val="bullet"/>
      <w:lvlText w:val="•"/>
      <w:lvlJc w:val="left"/>
      <w:pPr>
        <w:ind w:left="5053" w:hanging="360"/>
      </w:pPr>
      <w:rPr>
        <w:rFonts w:hint="default"/>
      </w:rPr>
    </w:lvl>
    <w:lvl w:ilvl="6" w:tplc="9CF04B70">
      <w:numFmt w:val="bullet"/>
      <w:lvlText w:val="•"/>
      <w:lvlJc w:val="left"/>
      <w:pPr>
        <w:ind w:left="5899" w:hanging="360"/>
      </w:pPr>
      <w:rPr>
        <w:rFonts w:hint="default"/>
      </w:rPr>
    </w:lvl>
    <w:lvl w:ilvl="7" w:tplc="68E6C268">
      <w:numFmt w:val="bullet"/>
      <w:lvlText w:val="•"/>
      <w:lvlJc w:val="left"/>
      <w:pPr>
        <w:ind w:left="6746" w:hanging="360"/>
      </w:pPr>
      <w:rPr>
        <w:rFonts w:hint="default"/>
      </w:rPr>
    </w:lvl>
    <w:lvl w:ilvl="8" w:tplc="86A4A5F0">
      <w:numFmt w:val="bullet"/>
      <w:lvlText w:val="•"/>
      <w:lvlJc w:val="left"/>
      <w:pPr>
        <w:ind w:left="7593" w:hanging="360"/>
      </w:pPr>
      <w:rPr>
        <w:rFonts w:hint="default"/>
      </w:rPr>
    </w:lvl>
  </w:abstractNum>
  <w:abstractNum w:abstractNumId="5">
    <w:nsid w:val="2F8550D9"/>
    <w:multiLevelType w:val="hybridMultilevel"/>
    <w:tmpl w:val="D5AEF432"/>
    <w:lvl w:ilvl="0" w:tplc="E85EEB38">
      <w:numFmt w:val="bullet"/>
      <w:lvlText w:val="-"/>
      <w:lvlJc w:val="left"/>
      <w:pPr>
        <w:ind w:left="1180" w:hanging="360"/>
      </w:pPr>
      <w:rPr>
        <w:rFonts w:ascii="Courier New" w:eastAsia="Courier New" w:hAnsi="Courier New" w:cs="Courier New" w:hint="default"/>
        <w:w w:val="100"/>
        <w:sz w:val="22"/>
        <w:szCs w:val="22"/>
      </w:rPr>
    </w:lvl>
    <w:lvl w:ilvl="1" w:tplc="79CADF6A">
      <w:numFmt w:val="bullet"/>
      <w:lvlText w:val="•"/>
      <w:lvlJc w:val="left"/>
      <w:pPr>
        <w:ind w:left="1978" w:hanging="360"/>
      </w:pPr>
      <w:rPr>
        <w:rFonts w:hint="default"/>
      </w:rPr>
    </w:lvl>
    <w:lvl w:ilvl="2" w:tplc="8C1EEB16">
      <w:numFmt w:val="bullet"/>
      <w:lvlText w:val="•"/>
      <w:lvlJc w:val="left"/>
      <w:pPr>
        <w:ind w:left="2777" w:hanging="360"/>
      </w:pPr>
      <w:rPr>
        <w:rFonts w:hint="default"/>
      </w:rPr>
    </w:lvl>
    <w:lvl w:ilvl="3" w:tplc="5FE2C20E">
      <w:numFmt w:val="bullet"/>
      <w:lvlText w:val="•"/>
      <w:lvlJc w:val="left"/>
      <w:pPr>
        <w:ind w:left="3575" w:hanging="360"/>
      </w:pPr>
      <w:rPr>
        <w:rFonts w:hint="default"/>
      </w:rPr>
    </w:lvl>
    <w:lvl w:ilvl="4" w:tplc="30707E94">
      <w:numFmt w:val="bullet"/>
      <w:lvlText w:val="•"/>
      <w:lvlJc w:val="left"/>
      <w:pPr>
        <w:ind w:left="4374" w:hanging="360"/>
      </w:pPr>
      <w:rPr>
        <w:rFonts w:hint="default"/>
      </w:rPr>
    </w:lvl>
    <w:lvl w:ilvl="5" w:tplc="8070D938">
      <w:numFmt w:val="bullet"/>
      <w:lvlText w:val="•"/>
      <w:lvlJc w:val="left"/>
      <w:pPr>
        <w:ind w:left="5173" w:hanging="360"/>
      </w:pPr>
      <w:rPr>
        <w:rFonts w:hint="default"/>
      </w:rPr>
    </w:lvl>
    <w:lvl w:ilvl="6" w:tplc="CB74D59C">
      <w:numFmt w:val="bullet"/>
      <w:lvlText w:val="•"/>
      <w:lvlJc w:val="left"/>
      <w:pPr>
        <w:ind w:left="5971" w:hanging="360"/>
      </w:pPr>
      <w:rPr>
        <w:rFonts w:hint="default"/>
      </w:rPr>
    </w:lvl>
    <w:lvl w:ilvl="7" w:tplc="38DA59DE">
      <w:numFmt w:val="bullet"/>
      <w:lvlText w:val="•"/>
      <w:lvlJc w:val="left"/>
      <w:pPr>
        <w:ind w:left="6770" w:hanging="360"/>
      </w:pPr>
      <w:rPr>
        <w:rFonts w:hint="default"/>
      </w:rPr>
    </w:lvl>
    <w:lvl w:ilvl="8" w:tplc="2CE49D9A">
      <w:numFmt w:val="bullet"/>
      <w:lvlText w:val="•"/>
      <w:lvlJc w:val="left"/>
      <w:pPr>
        <w:ind w:left="7569" w:hanging="360"/>
      </w:pPr>
      <w:rPr>
        <w:rFonts w:hint="default"/>
      </w:rPr>
    </w:lvl>
  </w:abstractNum>
  <w:abstractNum w:abstractNumId="6">
    <w:nsid w:val="31F11B76"/>
    <w:multiLevelType w:val="hybridMultilevel"/>
    <w:tmpl w:val="52701C00"/>
    <w:lvl w:ilvl="0" w:tplc="6E902A62">
      <w:start w:val="1"/>
      <w:numFmt w:val="lowerLetter"/>
      <w:lvlText w:val="%1)"/>
      <w:lvlJc w:val="left"/>
      <w:pPr>
        <w:ind w:left="368" w:hanging="252"/>
      </w:pPr>
      <w:rPr>
        <w:rFonts w:ascii="Verdana" w:eastAsia="Verdana" w:hAnsi="Verdana" w:cs="Verdana" w:hint="default"/>
        <w:w w:val="100"/>
        <w:sz w:val="18"/>
        <w:szCs w:val="18"/>
      </w:rPr>
    </w:lvl>
    <w:lvl w:ilvl="1" w:tplc="75AE0A3C">
      <w:numFmt w:val="bullet"/>
      <w:lvlText w:val="-"/>
      <w:lvlJc w:val="left"/>
      <w:pPr>
        <w:ind w:left="836" w:hanging="360"/>
      </w:pPr>
      <w:rPr>
        <w:rFonts w:ascii="Verdana" w:eastAsia="Verdana" w:hAnsi="Verdana" w:cs="Verdana" w:hint="default"/>
        <w:spacing w:val="-2"/>
        <w:w w:val="100"/>
        <w:sz w:val="18"/>
        <w:szCs w:val="18"/>
      </w:rPr>
    </w:lvl>
    <w:lvl w:ilvl="2" w:tplc="FD72BB1C">
      <w:numFmt w:val="bullet"/>
      <w:lvlText w:val="•"/>
      <w:lvlJc w:val="left"/>
      <w:pPr>
        <w:ind w:left="1771" w:hanging="360"/>
      </w:pPr>
      <w:rPr>
        <w:rFonts w:hint="default"/>
      </w:rPr>
    </w:lvl>
    <w:lvl w:ilvl="3" w:tplc="983A9854">
      <w:numFmt w:val="bullet"/>
      <w:lvlText w:val="•"/>
      <w:lvlJc w:val="left"/>
      <w:pPr>
        <w:ind w:left="2703" w:hanging="360"/>
      </w:pPr>
      <w:rPr>
        <w:rFonts w:hint="default"/>
      </w:rPr>
    </w:lvl>
    <w:lvl w:ilvl="4" w:tplc="4E70955E">
      <w:numFmt w:val="bullet"/>
      <w:lvlText w:val="•"/>
      <w:lvlJc w:val="left"/>
      <w:pPr>
        <w:ind w:left="3635" w:hanging="360"/>
      </w:pPr>
      <w:rPr>
        <w:rFonts w:hint="default"/>
      </w:rPr>
    </w:lvl>
    <w:lvl w:ilvl="5" w:tplc="B874CDBC">
      <w:numFmt w:val="bullet"/>
      <w:lvlText w:val="•"/>
      <w:lvlJc w:val="left"/>
      <w:pPr>
        <w:ind w:left="4567" w:hanging="360"/>
      </w:pPr>
      <w:rPr>
        <w:rFonts w:hint="default"/>
      </w:rPr>
    </w:lvl>
    <w:lvl w:ilvl="6" w:tplc="54828426">
      <w:numFmt w:val="bullet"/>
      <w:lvlText w:val="•"/>
      <w:lvlJc w:val="left"/>
      <w:pPr>
        <w:ind w:left="5499" w:hanging="360"/>
      </w:pPr>
      <w:rPr>
        <w:rFonts w:hint="default"/>
      </w:rPr>
    </w:lvl>
    <w:lvl w:ilvl="7" w:tplc="12663E7E">
      <w:numFmt w:val="bullet"/>
      <w:lvlText w:val="•"/>
      <w:lvlJc w:val="left"/>
      <w:pPr>
        <w:ind w:left="6430" w:hanging="360"/>
      </w:pPr>
      <w:rPr>
        <w:rFonts w:hint="default"/>
      </w:rPr>
    </w:lvl>
    <w:lvl w:ilvl="8" w:tplc="CB921692">
      <w:numFmt w:val="bullet"/>
      <w:lvlText w:val="•"/>
      <w:lvlJc w:val="left"/>
      <w:pPr>
        <w:ind w:left="7362" w:hanging="360"/>
      </w:pPr>
      <w:rPr>
        <w:rFonts w:hint="default"/>
      </w:rPr>
    </w:lvl>
  </w:abstractNum>
  <w:abstractNum w:abstractNumId="7">
    <w:nsid w:val="333B0BFE"/>
    <w:multiLevelType w:val="hybridMultilevel"/>
    <w:tmpl w:val="990042BA"/>
    <w:lvl w:ilvl="0" w:tplc="61465716">
      <w:numFmt w:val="bullet"/>
      <w:lvlText w:val="-"/>
      <w:lvlJc w:val="left"/>
      <w:pPr>
        <w:ind w:left="790" w:hanging="360"/>
      </w:pPr>
      <w:rPr>
        <w:rFonts w:ascii="Verdana" w:eastAsia="Verdana" w:hAnsi="Verdana" w:cs="Verdana" w:hint="default"/>
        <w:spacing w:val="-2"/>
        <w:w w:val="100"/>
        <w:sz w:val="18"/>
        <w:szCs w:val="18"/>
      </w:rPr>
    </w:lvl>
    <w:lvl w:ilvl="1" w:tplc="62E2E03E">
      <w:numFmt w:val="bullet"/>
      <w:lvlText w:val="•"/>
      <w:lvlJc w:val="left"/>
      <w:pPr>
        <w:ind w:left="1642" w:hanging="360"/>
      </w:pPr>
      <w:rPr>
        <w:rFonts w:hint="default"/>
      </w:rPr>
    </w:lvl>
    <w:lvl w:ilvl="2" w:tplc="573AA44A">
      <w:numFmt w:val="bullet"/>
      <w:lvlText w:val="•"/>
      <w:lvlJc w:val="left"/>
      <w:pPr>
        <w:ind w:left="2485" w:hanging="360"/>
      </w:pPr>
      <w:rPr>
        <w:rFonts w:hint="default"/>
      </w:rPr>
    </w:lvl>
    <w:lvl w:ilvl="3" w:tplc="5E72A100">
      <w:numFmt w:val="bullet"/>
      <w:lvlText w:val="•"/>
      <w:lvlJc w:val="left"/>
      <w:pPr>
        <w:ind w:left="3327" w:hanging="360"/>
      </w:pPr>
      <w:rPr>
        <w:rFonts w:hint="default"/>
      </w:rPr>
    </w:lvl>
    <w:lvl w:ilvl="4" w:tplc="E5CA3C2C">
      <w:numFmt w:val="bullet"/>
      <w:lvlText w:val="•"/>
      <w:lvlJc w:val="left"/>
      <w:pPr>
        <w:ind w:left="4170" w:hanging="360"/>
      </w:pPr>
      <w:rPr>
        <w:rFonts w:hint="default"/>
      </w:rPr>
    </w:lvl>
    <w:lvl w:ilvl="5" w:tplc="D374B76E">
      <w:numFmt w:val="bullet"/>
      <w:lvlText w:val="•"/>
      <w:lvlJc w:val="left"/>
      <w:pPr>
        <w:ind w:left="5013" w:hanging="360"/>
      </w:pPr>
      <w:rPr>
        <w:rFonts w:hint="default"/>
      </w:rPr>
    </w:lvl>
    <w:lvl w:ilvl="6" w:tplc="873EC4F2">
      <w:numFmt w:val="bullet"/>
      <w:lvlText w:val="•"/>
      <w:lvlJc w:val="left"/>
      <w:pPr>
        <w:ind w:left="5855" w:hanging="360"/>
      </w:pPr>
      <w:rPr>
        <w:rFonts w:hint="default"/>
      </w:rPr>
    </w:lvl>
    <w:lvl w:ilvl="7" w:tplc="06F67036">
      <w:numFmt w:val="bullet"/>
      <w:lvlText w:val="•"/>
      <w:lvlJc w:val="left"/>
      <w:pPr>
        <w:ind w:left="6698" w:hanging="360"/>
      </w:pPr>
      <w:rPr>
        <w:rFonts w:hint="default"/>
      </w:rPr>
    </w:lvl>
    <w:lvl w:ilvl="8" w:tplc="3F4826FE">
      <w:numFmt w:val="bullet"/>
      <w:lvlText w:val="•"/>
      <w:lvlJc w:val="left"/>
      <w:pPr>
        <w:ind w:left="7541" w:hanging="360"/>
      </w:pPr>
      <w:rPr>
        <w:rFonts w:hint="default"/>
      </w:rPr>
    </w:lvl>
  </w:abstractNum>
  <w:abstractNum w:abstractNumId="8">
    <w:nsid w:val="3DBD36E6"/>
    <w:multiLevelType w:val="hybridMultilevel"/>
    <w:tmpl w:val="B95CB548"/>
    <w:lvl w:ilvl="0" w:tplc="1C426798">
      <w:start w:val="4"/>
      <w:numFmt w:val="decimal"/>
      <w:lvlText w:val="%1."/>
      <w:lvlJc w:val="left"/>
      <w:pPr>
        <w:ind w:left="824" w:hanging="243"/>
      </w:pPr>
      <w:rPr>
        <w:rFonts w:ascii="Verdana" w:eastAsia="Verdana" w:hAnsi="Verdana" w:cs="Verdana" w:hint="default"/>
        <w:w w:val="100"/>
        <w:sz w:val="18"/>
        <w:szCs w:val="18"/>
      </w:rPr>
    </w:lvl>
    <w:lvl w:ilvl="1" w:tplc="BBF898EE">
      <w:numFmt w:val="bullet"/>
      <w:lvlText w:val="•"/>
      <w:lvlJc w:val="left"/>
      <w:pPr>
        <w:ind w:left="1664" w:hanging="243"/>
      </w:pPr>
      <w:rPr>
        <w:rFonts w:hint="default"/>
      </w:rPr>
    </w:lvl>
    <w:lvl w:ilvl="2" w:tplc="6CBC0040">
      <w:numFmt w:val="bullet"/>
      <w:lvlText w:val="•"/>
      <w:lvlJc w:val="left"/>
      <w:pPr>
        <w:ind w:left="2509" w:hanging="243"/>
      </w:pPr>
      <w:rPr>
        <w:rFonts w:hint="default"/>
      </w:rPr>
    </w:lvl>
    <w:lvl w:ilvl="3" w:tplc="0038CA8E">
      <w:numFmt w:val="bullet"/>
      <w:lvlText w:val="•"/>
      <w:lvlJc w:val="left"/>
      <w:pPr>
        <w:ind w:left="3353" w:hanging="243"/>
      </w:pPr>
      <w:rPr>
        <w:rFonts w:hint="default"/>
      </w:rPr>
    </w:lvl>
    <w:lvl w:ilvl="4" w:tplc="4EEE5BF4">
      <w:numFmt w:val="bullet"/>
      <w:lvlText w:val="•"/>
      <w:lvlJc w:val="left"/>
      <w:pPr>
        <w:ind w:left="4198" w:hanging="243"/>
      </w:pPr>
      <w:rPr>
        <w:rFonts w:hint="default"/>
      </w:rPr>
    </w:lvl>
    <w:lvl w:ilvl="5" w:tplc="FA646824">
      <w:numFmt w:val="bullet"/>
      <w:lvlText w:val="•"/>
      <w:lvlJc w:val="left"/>
      <w:pPr>
        <w:ind w:left="5043" w:hanging="243"/>
      </w:pPr>
      <w:rPr>
        <w:rFonts w:hint="default"/>
      </w:rPr>
    </w:lvl>
    <w:lvl w:ilvl="6" w:tplc="AE08E606">
      <w:numFmt w:val="bullet"/>
      <w:lvlText w:val="•"/>
      <w:lvlJc w:val="left"/>
      <w:pPr>
        <w:ind w:left="5887" w:hanging="243"/>
      </w:pPr>
      <w:rPr>
        <w:rFonts w:hint="default"/>
      </w:rPr>
    </w:lvl>
    <w:lvl w:ilvl="7" w:tplc="0A7EF568">
      <w:numFmt w:val="bullet"/>
      <w:lvlText w:val="•"/>
      <w:lvlJc w:val="left"/>
      <w:pPr>
        <w:ind w:left="6732" w:hanging="243"/>
      </w:pPr>
      <w:rPr>
        <w:rFonts w:hint="default"/>
      </w:rPr>
    </w:lvl>
    <w:lvl w:ilvl="8" w:tplc="37A4E198">
      <w:numFmt w:val="bullet"/>
      <w:lvlText w:val="•"/>
      <w:lvlJc w:val="left"/>
      <w:pPr>
        <w:ind w:left="7577" w:hanging="243"/>
      </w:pPr>
      <w:rPr>
        <w:rFonts w:hint="default"/>
      </w:rPr>
    </w:lvl>
  </w:abstractNum>
  <w:abstractNum w:abstractNumId="9">
    <w:nsid w:val="41650C01"/>
    <w:multiLevelType w:val="hybridMultilevel"/>
    <w:tmpl w:val="67F470B4"/>
    <w:lvl w:ilvl="0" w:tplc="3D46391E">
      <w:numFmt w:val="bullet"/>
      <w:lvlText w:val="-"/>
      <w:lvlJc w:val="left"/>
      <w:pPr>
        <w:ind w:left="836" w:hanging="360"/>
      </w:pPr>
      <w:rPr>
        <w:rFonts w:ascii="Verdana" w:eastAsia="Verdana" w:hAnsi="Verdana" w:cs="Verdana" w:hint="default"/>
        <w:spacing w:val="-2"/>
        <w:w w:val="100"/>
        <w:sz w:val="18"/>
        <w:szCs w:val="18"/>
      </w:rPr>
    </w:lvl>
    <w:lvl w:ilvl="1" w:tplc="A7EEC132">
      <w:numFmt w:val="bullet"/>
      <w:lvlText w:val="•"/>
      <w:lvlJc w:val="left"/>
      <w:pPr>
        <w:ind w:left="1682" w:hanging="360"/>
      </w:pPr>
      <w:rPr>
        <w:rFonts w:hint="default"/>
      </w:rPr>
    </w:lvl>
    <w:lvl w:ilvl="2" w:tplc="3642D576">
      <w:numFmt w:val="bullet"/>
      <w:lvlText w:val="•"/>
      <w:lvlJc w:val="left"/>
      <w:pPr>
        <w:ind w:left="2525" w:hanging="360"/>
      </w:pPr>
      <w:rPr>
        <w:rFonts w:hint="default"/>
      </w:rPr>
    </w:lvl>
    <w:lvl w:ilvl="3" w:tplc="C36C8E98">
      <w:numFmt w:val="bullet"/>
      <w:lvlText w:val="•"/>
      <w:lvlJc w:val="left"/>
      <w:pPr>
        <w:ind w:left="3367" w:hanging="360"/>
      </w:pPr>
      <w:rPr>
        <w:rFonts w:hint="default"/>
      </w:rPr>
    </w:lvl>
    <w:lvl w:ilvl="4" w:tplc="E80EF364">
      <w:numFmt w:val="bullet"/>
      <w:lvlText w:val="•"/>
      <w:lvlJc w:val="left"/>
      <w:pPr>
        <w:ind w:left="4210" w:hanging="360"/>
      </w:pPr>
      <w:rPr>
        <w:rFonts w:hint="default"/>
      </w:rPr>
    </w:lvl>
    <w:lvl w:ilvl="5" w:tplc="EDEAB05A">
      <w:numFmt w:val="bullet"/>
      <w:lvlText w:val="•"/>
      <w:lvlJc w:val="left"/>
      <w:pPr>
        <w:ind w:left="5053" w:hanging="360"/>
      </w:pPr>
      <w:rPr>
        <w:rFonts w:hint="default"/>
      </w:rPr>
    </w:lvl>
    <w:lvl w:ilvl="6" w:tplc="ED0A416E">
      <w:numFmt w:val="bullet"/>
      <w:lvlText w:val="•"/>
      <w:lvlJc w:val="left"/>
      <w:pPr>
        <w:ind w:left="5895" w:hanging="360"/>
      </w:pPr>
      <w:rPr>
        <w:rFonts w:hint="default"/>
      </w:rPr>
    </w:lvl>
    <w:lvl w:ilvl="7" w:tplc="80DE236C">
      <w:numFmt w:val="bullet"/>
      <w:lvlText w:val="•"/>
      <w:lvlJc w:val="left"/>
      <w:pPr>
        <w:ind w:left="6738" w:hanging="360"/>
      </w:pPr>
      <w:rPr>
        <w:rFonts w:hint="default"/>
      </w:rPr>
    </w:lvl>
    <w:lvl w:ilvl="8" w:tplc="6758F8DE">
      <w:numFmt w:val="bullet"/>
      <w:lvlText w:val="•"/>
      <w:lvlJc w:val="left"/>
      <w:pPr>
        <w:ind w:left="7581" w:hanging="360"/>
      </w:pPr>
      <w:rPr>
        <w:rFonts w:hint="default"/>
      </w:rPr>
    </w:lvl>
  </w:abstractNum>
  <w:abstractNum w:abstractNumId="10">
    <w:nsid w:val="4A7C2CF0"/>
    <w:multiLevelType w:val="hybridMultilevel"/>
    <w:tmpl w:val="81006C4C"/>
    <w:lvl w:ilvl="0" w:tplc="FA1ED232">
      <w:start w:val="1"/>
      <w:numFmt w:val="lowerLetter"/>
      <w:lvlText w:val="%1)"/>
      <w:lvlJc w:val="left"/>
      <w:pPr>
        <w:ind w:left="1076" w:hanging="252"/>
      </w:pPr>
      <w:rPr>
        <w:rFonts w:ascii="Verdana" w:eastAsia="Verdana" w:hAnsi="Verdana" w:cs="Verdana" w:hint="default"/>
        <w:w w:val="100"/>
        <w:sz w:val="18"/>
        <w:szCs w:val="18"/>
      </w:rPr>
    </w:lvl>
    <w:lvl w:ilvl="1" w:tplc="870C7D26">
      <w:numFmt w:val="bullet"/>
      <w:lvlText w:val="•"/>
      <w:lvlJc w:val="left"/>
      <w:pPr>
        <w:ind w:left="1894" w:hanging="252"/>
      </w:pPr>
      <w:rPr>
        <w:rFonts w:hint="default"/>
      </w:rPr>
    </w:lvl>
    <w:lvl w:ilvl="2" w:tplc="A7283D1C">
      <w:numFmt w:val="bullet"/>
      <w:lvlText w:val="•"/>
      <w:lvlJc w:val="left"/>
      <w:pPr>
        <w:ind w:left="2709" w:hanging="252"/>
      </w:pPr>
      <w:rPr>
        <w:rFonts w:hint="default"/>
      </w:rPr>
    </w:lvl>
    <w:lvl w:ilvl="3" w:tplc="DFA687EE">
      <w:numFmt w:val="bullet"/>
      <w:lvlText w:val="•"/>
      <w:lvlJc w:val="left"/>
      <w:pPr>
        <w:ind w:left="3523" w:hanging="252"/>
      </w:pPr>
      <w:rPr>
        <w:rFonts w:hint="default"/>
      </w:rPr>
    </w:lvl>
    <w:lvl w:ilvl="4" w:tplc="46F809B8">
      <w:numFmt w:val="bullet"/>
      <w:lvlText w:val="•"/>
      <w:lvlJc w:val="left"/>
      <w:pPr>
        <w:ind w:left="4338" w:hanging="252"/>
      </w:pPr>
      <w:rPr>
        <w:rFonts w:hint="default"/>
      </w:rPr>
    </w:lvl>
    <w:lvl w:ilvl="5" w:tplc="17D0EF1A">
      <w:numFmt w:val="bullet"/>
      <w:lvlText w:val="•"/>
      <w:lvlJc w:val="left"/>
      <w:pPr>
        <w:ind w:left="5153" w:hanging="252"/>
      </w:pPr>
      <w:rPr>
        <w:rFonts w:hint="default"/>
      </w:rPr>
    </w:lvl>
    <w:lvl w:ilvl="6" w:tplc="51FA5190">
      <w:numFmt w:val="bullet"/>
      <w:lvlText w:val="•"/>
      <w:lvlJc w:val="left"/>
      <w:pPr>
        <w:ind w:left="5967" w:hanging="252"/>
      </w:pPr>
      <w:rPr>
        <w:rFonts w:hint="default"/>
      </w:rPr>
    </w:lvl>
    <w:lvl w:ilvl="7" w:tplc="8D42AAC4">
      <w:numFmt w:val="bullet"/>
      <w:lvlText w:val="•"/>
      <w:lvlJc w:val="left"/>
      <w:pPr>
        <w:ind w:left="6782" w:hanging="252"/>
      </w:pPr>
      <w:rPr>
        <w:rFonts w:hint="default"/>
      </w:rPr>
    </w:lvl>
    <w:lvl w:ilvl="8" w:tplc="A6383666">
      <w:numFmt w:val="bullet"/>
      <w:lvlText w:val="•"/>
      <w:lvlJc w:val="left"/>
      <w:pPr>
        <w:ind w:left="7597" w:hanging="252"/>
      </w:pPr>
      <w:rPr>
        <w:rFonts w:hint="default"/>
      </w:rPr>
    </w:lvl>
  </w:abstractNum>
  <w:abstractNum w:abstractNumId="11">
    <w:nsid w:val="4F4C6465"/>
    <w:multiLevelType w:val="hybridMultilevel"/>
    <w:tmpl w:val="6C1041A0"/>
    <w:lvl w:ilvl="0" w:tplc="F2AEB5EE">
      <w:numFmt w:val="bullet"/>
      <w:lvlText w:val="-"/>
      <w:lvlJc w:val="left"/>
      <w:pPr>
        <w:ind w:left="836" w:hanging="360"/>
      </w:pPr>
      <w:rPr>
        <w:rFonts w:ascii="Verdana" w:eastAsia="Verdana" w:hAnsi="Verdana" w:cs="Verdana" w:hint="default"/>
        <w:spacing w:val="-2"/>
        <w:w w:val="100"/>
        <w:sz w:val="18"/>
        <w:szCs w:val="18"/>
      </w:rPr>
    </w:lvl>
    <w:lvl w:ilvl="1" w:tplc="DB5283B6">
      <w:numFmt w:val="bullet"/>
      <w:lvlText w:val="•"/>
      <w:lvlJc w:val="left"/>
      <w:pPr>
        <w:ind w:left="1684" w:hanging="360"/>
      </w:pPr>
      <w:rPr>
        <w:rFonts w:hint="default"/>
      </w:rPr>
    </w:lvl>
    <w:lvl w:ilvl="2" w:tplc="5C360956">
      <w:numFmt w:val="bullet"/>
      <w:lvlText w:val="•"/>
      <w:lvlJc w:val="left"/>
      <w:pPr>
        <w:ind w:left="2529" w:hanging="360"/>
      </w:pPr>
      <w:rPr>
        <w:rFonts w:hint="default"/>
      </w:rPr>
    </w:lvl>
    <w:lvl w:ilvl="3" w:tplc="9F5C1B48">
      <w:numFmt w:val="bullet"/>
      <w:lvlText w:val="•"/>
      <w:lvlJc w:val="left"/>
      <w:pPr>
        <w:ind w:left="3373" w:hanging="360"/>
      </w:pPr>
      <w:rPr>
        <w:rFonts w:hint="default"/>
      </w:rPr>
    </w:lvl>
    <w:lvl w:ilvl="4" w:tplc="FFD2E046">
      <w:numFmt w:val="bullet"/>
      <w:lvlText w:val="•"/>
      <w:lvlJc w:val="left"/>
      <w:pPr>
        <w:ind w:left="4218" w:hanging="360"/>
      </w:pPr>
      <w:rPr>
        <w:rFonts w:hint="default"/>
      </w:rPr>
    </w:lvl>
    <w:lvl w:ilvl="5" w:tplc="68D07D5C">
      <w:numFmt w:val="bullet"/>
      <w:lvlText w:val="•"/>
      <w:lvlJc w:val="left"/>
      <w:pPr>
        <w:ind w:left="5063" w:hanging="360"/>
      </w:pPr>
      <w:rPr>
        <w:rFonts w:hint="default"/>
      </w:rPr>
    </w:lvl>
    <w:lvl w:ilvl="6" w:tplc="B66CD1C8">
      <w:numFmt w:val="bullet"/>
      <w:lvlText w:val="•"/>
      <w:lvlJc w:val="left"/>
      <w:pPr>
        <w:ind w:left="5907" w:hanging="360"/>
      </w:pPr>
      <w:rPr>
        <w:rFonts w:hint="default"/>
      </w:rPr>
    </w:lvl>
    <w:lvl w:ilvl="7" w:tplc="81506544">
      <w:numFmt w:val="bullet"/>
      <w:lvlText w:val="•"/>
      <w:lvlJc w:val="left"/>
      <w:pPr>
        <w:ind w:left="6752" w:hanging="360"/>
      </w:pPr>
      <w:rPr>
        <w:rFonts w:hint="default"/>
      </w:rPr>
    </w:lvl>
    <w:lvl w:ilvl="8" w:tplc="46A0C7D8">
      <w:numFmt w:val="bullet"/>
      <w:lvlText w:val="•"/>
      <w:lvlJc w:val="left"/>
      <w:pPr>
        <w:ind w:left="7597" w:hanging="360"/>
      </w:pPr>
      <w:rPr>
        <w:rFonts w:hint="default"/>
      </w:rPr>
    </w:lvl>
  </w:abstractNum>
  <w:abstractNum w:abstractNumId="12">
    <w:nsid w:val="5B593EDE"/>
    <w:multiLevelType w:val="hybridMultilevel"/>
    <w:tmpl w:val="F4341238"/>
    <w:lvl w:ilvl="0" w:tplc="6F78BCF0">
      <w:numFmt w:val="bullet"/>
      <w:lvlText w:val=""/>
      <w:lvlJc w:val="left"/>
      <w:pPr>
        <w:ind w:left="613" w:hanging="360"/>
      </w:pPr>
      <w:rPr>
        <w:rFonts w:ascii="Symbol" w:eastAsia="Symbol" w:hAnsi="Symbol" w:cs="Symbol" w:hint="default"/>
        <w:w w:val="100"/>
        <w:sz w:val="18"/>
        <w:szCs w:val="18"/>
      </w:rPr>
    </w:lvl>
    <w:lvl w:ilvl="1" w:tplc="EE28F5DA">
      <w:numFmt w:val="bullet"/>
      <w:lvlText w:val=""/>
      <w:lvlJc w:val="left"/>
      <w:pPr>
        <w:ind w:left="973" w:hanging="360"/>
      </w:pPr>
      <w:rPr>
        <w:rFonts w:ascii="Wingdings" w:eastAsia="Wingdings" w:hAnsi="Wingdings" w:cs="Wingdings" w:hint="default"/>
        <w:w w:val="100"/>
        <w:sz w:val="22"/>
        <w:szCs w:val="22"/>
      </w:rPr>
    </w:lvl>
    <w:lvl w:ilvl="2" w:tplc="46024FBC">
      <w:numFmt w:val="bullet"/>
      <w:lvlText w:val="•"/>
      <w:lvlJc w:val="left"/>
      <w:pPr>
        <w:ind w:left="1909" w:hanging="360"/>
      </w:pPr>
      <w:rPr>
        <w:rFonts w:hint="default"/>
      </w:rPr>
    </w:lvl>
    <w:lvl w:ilvl="3" w:tplc="569AAEC8">
      <w:numFmt w:val="bullet"/>
      <w:lvlText w:val="•"/>
      <w:lvlJc w:val="left"/>
      <w:pPr>
        <w:ind w:left="2845" w:hanging="360"/>
      </w:pPr>
      <w:rPr>
        <w:rFonts w:hint="default"/>
      </w:rPr>
    </w:lvl>
    <w:lvl w:ilvl="4" w:tplc="AE5ECCD2">
      <w:numFmt w:val="bullet"/>
      <w:lvlText w:val="•"/>
      <w:lvlJc w:val="left"/>
      <w:pPr>
        <w:ind w:left="3781" w:hanging="360"/>
      </w:pPr>
      <w:rPr>
        <w:rFonts w:hint="default"/>
      </w:rPr>
    </w:lvl>
    <w:lvl w:ilvl="5" w:tplc="4F4A5FB8">
      <w:numFmt w:val="bullet"/>
      <w:lvlText w:val="•"/>
      <w:lvlJc w:val="left"/>
      <w:pPr>
        <w:ind w:left="4718" w:hanging="360"/>
      </w:pPr>
      <w:rPr>
        <w:rFonts w:hint="default"/>
      </w:rPr>
    </w:lvl>
    <w:lvl w:ilvl="6" w:tplc="6CC64684">
      <w:numFmt w:val="bullet"/>
      <w:lvlText w:val="•"/>
      <w:lvlJc w:val="left"/>
      <w:pPr>
        <w:ind w:left="5654" w:hanging="360"/>
      </w:pPr>
      <w:rPr>
        <w:rFonts w:hint="default"/>
      </w:rPr>
    </w:lvl>
    <w:lvl w:ilvl="7" w:tplc="A15A80D0">
      <w:numFmt w:val="bullet"/>
      <w:lvlText w:val="•"/>
      <w:lvlJc w:val="left"/>
      <w:pPr>
        <w:ind w:left="6590" w:hanging="360"/>
      </w:pPr>
      <w:rPr>
        <w:rFonts w:hint="default"/>
      </w:rPr>
    </w:lvl>
    <w:lvl w:ilvl="8" w:tplc="4F003C18">
      <w:numFmt w:val="bullet"/>
      <w:lvlText w:val="•"/>
      <w:lvlJc w:val="left"/>
      <w:pPr>
        <w:ind w:left="7526" w:hanging="360"/>
      </w:pPr>
      <w:rPr>
        <w:rFonts w:hint="default"/>
      </w:rPr>
    </w:lvl>
  </w:abstractNum>
  <w:abstractNum w:abstractNumId="13">
    <w:nsid w:val="61C91F0D"/>
    <w:multiLevelType w:val="hybridMultilevel"/>
    <w:tmpl w:val="D598C82C"/>
    <w:lvl w:ilvl="0" w:tplc="FE50DBFA">
      <w:start w:val="1"/>
      <w:numFmt w:val="decimal"/>
      <w:lvlText w:val="%1."/>
      <w:lvlJc w:val="left"/>
      <w:pPr>
        <w:ind w:left="460" w:hanging="360"/>
      </w:pPr>
      <w:rPr>
        <w:rFonts w:ascii="Calibri" w:eastAsia="Calibri" w:hAnsi="Calibri" w:cs="Calibri" w:hint="default"/>
        <w:b/>
        <w:bCs/>
        <w:w w:val="100"/>
        <w:sz w:val="22"/>
        <w:szCs w:val="22"/>
      </w:rPr>
    </w:lvl>
    <w:lvl w:ilvl="1" w:tplc="858A7D92">
      <w:numFmt w:val="bullet"/>
      <w:lvlText w:val=""/>
      <w:lvlJc w:val="left"/>
      <w:pPr>
        <w:ind w:left="820" w:hanging="1080"/>
      </w:pPr>
      <w:rPr>
        <w:rFonts w:hint="default"/>
        <w:w w:val="100"/>
      </w:rPr>
    </w:lvl>
    <w:lvl w:ilvl="2" w:tplc="EDFEB7AC">
      <w:numFmt w:val="bullet"/>
      <w:lvlText w:val="•"/>
      <w:lvlJc w:val="left"/>
      <w:pPr>
        <w:ind w:left="820" w:hanging="1080"/>
      </w:pPr>
      <w:rPr>
        <w:rFonts w:hint="default"/>
      </w:rPr>
    </w:lvl>
    <w:lvl w:ilvl="3" w:tplc="C6B487AE">
      <w:numFmt w:val="bullet"/>
      <w:lvlText w:val="•"/>
      <w:lvlJc w:val="left"/>
      <w:pPr>
        <w:ind w:left="1180" w:hanging="1080"/>
      </w:pPr>
      <w:rPr>
        <w:rFonts w:hint="default"/>
      </w:rPr>
    </w:lvl>
    <w:lvl w:ilvl="4" w:tplc="B9883E3C">
      <w:numFmt w:val="bullet"/>
      <w:lvlText w:val="•"/>
      <w:lvlJc w:val="left"/>
      <w:pPr>
        <w:ind w:left="2332" w:hanging="1080"/>
      </w:pPr>
      <w:rPr>
        <w:rFonts w:hint="default"/>
      </w:rPr>
    </w:lvl>
    <w:lvl w:ilvl="5" w:tplc="0B283B00">
      <w:numFmt w:val="bullet"/>
      <w:lvlText w:val="•"/>
      <w:lvlJc w:val="left"/>
      <w:pPr>
        <w:ind w:left="3484" w:hanging="1080"/>
      </w:pPr>
      <w:rPr>
        <w:rFonts w:hint="default"/>
      </w:rPr>
    </w:lvl>
    <w:lvl w:ilvl="6" w:tplc="FB00D3B6">
      <w:numFmt w:val="bullet"/>
      <w:lvlText w:val="•"/>
      <w:lvlJc w:val="left"/>
      <w:pPr>
        <w:ind w:left="4637" w:hanging="1080"/>
      </w:pPr>
      <w:rPr>
        <w:rFonts w:hint="default"/>
      </w:rPr>
    </w:lvl>
    <w:lvl w:ilvl="7" w:tplc="876A6438">
      <w:numFmt w:val="bullet"/>
      <w:lvlText w:val="•"/>
      <w:lvlJc w:val="left"/>
      <w:pPr>
        <w:ind w:left="5789" w:hanging="1080"/>
      </w:pPr>
      <w:rPr>
        <w:rFonts w:hint="default"/>
      </w:rPr>
    </w:lvl>
    <w:lvl w:ilvl="8" w:tplc="164CC682">
      <w:numFmt w:val="bullet"/>
      <w:lvlText w:val="•"/>
      <w:lvlJc w:val="left"/>
      <w:pPr>
        <w:ind w:left="6941" w:hanging="1080"/>
      </w:pPr>
      <w:rPr>
        <w:rFonts w:hint="default"/>
      </w:rPr>
    </w:lvl>
  </w:abstractNum>
  <w:abstractNum w:abstractNumId="14">
    <w:nsid w:val="63226933"/>
    <w:multiLevelType w:val="multilevel"/>
    <w:tmpl w:val="AE384106"/>
    <w:lvl w:ilvl="0">
      <w:start w:val="1"/>
      <w:numFmt w:val="lowerRoman"/>
      <w:lvlText w:val="%1"/>
      <w:lvlJc w:val="left"/>
      <w:pPr>
        <w:ind w:left="100" w:hanging="322"/>
      </w:pPr>
      <w:rPr>
        <w:rFonts w:hint="default"/>
      </w:rPr>
    </w:lvl>
    <w:lvl w:ilvl="1">
      <w:start w:val="5"/>
      <w:numFmt w:val="lowerLetter"/>
      <w:lvlText w:val="%1.%2."/>
      <w:lvlJc w:val="left"/>
      <w:pPr>
        <w:ind w:left="100" w:hanging="322"/>
      </w:pPr>
      <w:rPr>
        <w:rFonts w:ascii="Calibri" w:eastAsia="Calibri" w:hAnsi="Calibri" w:cs="Calibri" w:hint="default"/>
        <w:spacing w:val="-1"/>
        <w:w w:val="100"/>
        <w:sz w:val="22"/>
        <w:szCs w:val="22"/>
      </w:rPr>
    </w:lvl>
    <w:lvl w:ilvl="2">
      <w:start w:val="1"/>
      <w:numFmt w:val="decimal"/>
      <w:lvlText w:val="%3."/>
      <w:lvlJc w:val="left"/>
      <w:pPr>
        <w:ind w:left="820" w:hanging="360"/>
      </w:pPr>
      <w:rPr>
        <w:rFonts w:ascii="Calibri" w:eastAsia="Calibri" w:hAnsi="Calibri" w:cs="Calibri" w:hint="default"/>
        <w:w w:val="100"/>
        <w:sz w:val="22"/>
        <w:szCs w:val="22"/>
      </w:rPr>
    </w:lvl>
    <w:lvl w:ilvl="3">
      <w:numFmt w:val="bullet"/>
      <w:lvlText w:val="•"/>
      <w:lvlJc w:val="left"/>
      <w:pPr>
        <w:ind w:left="2692" w:hanging="360"/>
      </w:pPr>
      <w:rPr>
        <w:rFonts w:hint="default"/>
      </w:rPr>
    </w:lvl>
    <w:lvl w:ilvl="4">
      <w:numFmt w:val="bullet"/>
      <w:lvlText w:val="•"/>
      <w:lvlJc w:val="left"/>
      <w:pPr>
        <w:ind w:left="3628" w:hanging="360"/>
      </w:pPr>
      <w:rPr>
        <w:rFonts w:hint="default"/>
      </w:rPr>
    </w:lvl>
    <w:lvl w:ilvl="5">
      <w:numFmt w:val="bullet"/>
      <w:lvlText w:val="•"/>
      <w:lvlJc w:val="left"/>
      <w:pPr>
        <w:ind w:left="4565" w:hanging="360"/>
      </w:pPr>
      <w:rPr>
        <w:rFonts w:hint="default"/>
      </w:rPr>
    </w:lvl>
    <w:lvl w:ilvl="6">
      <w:numFmt w:val="bullet"/>
      <w:lvlText w:val="•"/>
      <w:lvlJc w:val="left"/>
      <w:pPr>
        <w:ind w:left="5501" w:hanging="360"/>
      </w:pPr>
      <w:rPr>
        <w:rFonts w:hint="default"/>
      </w:rPr>
    </w:lvl>
    <w:lvl w:ilvl="7">
      <w:numFmt w:val="bullet"/>
      <w:lvlText w:val="•"/>
      <w:lvlJc w:val="left"/>
      <w:pPr>
        <w:ind w:left="6437" w:hanging="360"/>
      </w:pPr>
      <w:rPr>
        <w:rFonts w:hint="default"/>
      </w:rPr>
    </w:lvl>
    <w:lvl w:ilvl="8">
      <w:numFmt w:val="bullet"/>
      <w:lvlText w:val="•"/>
      <w:lvlJc w:val="left"/>
      <w:pPr>
        <w:ind w:left="7373" w:hanging="360"/>
      </w:pPr>
      <w:rPr>
        <w:rFonts w:hint="default"/>
      </w:rPr>
    </w:lvl>
  </w:abstractNum>
  <w:abstractNum w:abstractNumId="15">
    <w:nsid w:val="63CE3194"/>
    <w:multiLevelType w:val="hybridMultilevel"/>
    <w:tmpl w:val="74021254"/>
    <w:lvl w:ilvl="0" w:tplc="6F78BCF0">
      <w:numFmt w:val="bullet"/>
      <w:lvlText w:val=""/>
      <w:lvlJc w:val="left"/>
      <w:pPr>
        <w:ind w:left="824" w:hanging="360"/>
      </w:pPr>
      <w:rPr>
        <w:rFonts w:ascii="Symbol" w:eastAsia="Symbol" w:hAnsi="Symbol" w:cs="Symbol" w:hint="default"/>
        <w:w w:val="100"/>
        <w:sz w:val="18"/>
        <w:szCs w:val="18"/>
      </w:rPr>
    </w:lvl>
    <w:lvl w:ilvl="1" w:tplc="E904FD6C">
      <w:numFmt w:val="bullet"/>
      <w:lvlText w:val="•"/>
      <w:lvlJc w:val="left"/>
      <w:pPr>
        <w:ind w:left="1664" w:hanging="360"/>
      </w:pPr>
      <w:rPr>
        <w:rFonts w:hint="default"/>
      </w:rPr>
    </w:lvl>
    <w:lvl w:ilvl="2" w:tplc="B3F8D976">
      <w:numFmt w:val="bullet"/>
      <w:lvlText w:val="•"/>
      <w:lvlJc w:val="left"/>
      <w:pPr>
        <w:ind w:left="2509" w:hanging="360"/>
      </w:pPr>
      <w:rPr>
        <w:rFonts w:hint="default"/>
      </w:rPr>
    </w:lvl>
    <w:lvl w:ilvl="3" w:tplc="32600F70">
      <w:numFmt w:val="bullet"/>
      <w:lvlText w:val="•"/>
      <w:lvlJc w:val="left"/>
      <w:pPr>
        <w:ind w:left="3353" w:hanging="360"/>
      </w:pPr>
      <w:rPr>
        <w:rFonts w:hint="default"/>
      </w:rPr>
    </w:lvl>
    <w:lvl w:ilvl="4" w:tplc="BCD0EF8E">
      <w:numFmt w:val="bullet"/>
      <w:lvlText w:val="•"/>
      <w:lvlJc w:val="left"/>
      <w:pPr>
        <w:ind w:left="4198" w:hanging="360"/>
      </w:pPr>
      <w:rPr>
        <w:rFonts w:hint="default"/>
      </w:rPr>
    </w:lvl>
    <w:lvl w:ilvl="5" w:tplc="B24EF9B6">
      <w:numFmt w:val="bullet"/>
      <w:lvlText w:val="•"/>
      <w:lvlJc w:val="left"/>
      <w:pPr>
        <w:ind w:left="5043" w:hanging="360"/>
      </w:pPr>
      <w:rPr>
        <w:rFonts w:hint="default"/>
      </w:rPr>
    </w:lvl>
    <w:lvl w:ilvl="6" w:tplc="68C007E6">
      <w:numFmt w:val="bullet"/>
      <w:lvlText w:val="•"/>
      <w:lvlJc w:val="left"/>
      <w:pPr>
        <w:ind w:left="5887" w:hanging="360"/>
      </w:pPr>
      <w:rPr>
        <w:rFonts w:hint="default"/>
      </w:rPr>
    </w:lvl>
    <w:lvl w:ilvl="7" w:tplc="708E9BDC">
      <w:numFmt w:val="bullet"/>
      <w:lvlText w:val="•"/>
      <w:lvlJc w:val="left"/>
      <w:pPr>
        <w:ind w:left="6732" w:hanging="360"/>
      </w:pPr>
      <w:rPr>
        <w:rFonts w:hint="default"/>
      </w:rPr>
    </w:lvl>
    <w:lvl w:ilvl="8" w:tplc="B78C23AA">
      <w:numFmt w:val="bullet"/>
      <w:lvlText w:val="•"/>
      <w:lvlJc w:val="left"/>
      <w:pPr>
        <w:ind w:left="7577" w:hanging="360"/>
      </w:pPr>
      <w:rPr>
        <w:rFonts w:hint="default"/>
      </w:rPr>
    </w:lvl>
  </w:abstractNum>
  <w:abstractNum w:abstractNumId="16">
    <w:nsid w:val="703B6347"/>
    <w:multiLevelType w:val="hybridMultilevel"/>
    <w:tmpl w:val="D99E396C"/>
    <w:lvl w:ilvl="0" w:tplc="65B6739A">
      <w:numFmt w:val="bullet"/>
      <w:lvlText w:val=""/>
      <w:lvlJc w:val="left"/>
      <w:pPr>
        <w:ind w:left="860" w:hanging="360"/>
      </w:pPr>
      <w:rPr>
        <w:rFonts w:ascii="Symbol" w:eastAsia="Symbol" w:hAnsi="Symbol" w:cs="Symbol" w:hint="default"/>
        <w:w w:val="99"/>
        <w:sz w:val="32"/>
        <w:szCs w:val="32"/>
      </w:rPr>
    </w:lvl>
    <w:lvl w:ilvl="1" w:tplc="677A4D48">
      <w:numFmt w:val="bullet"/>
      <w:lvlText w:val="•"/>
      <w:lvlJc w:val="left"/>
      <w:pPr>
        <w:ind w:left="1704" w:hanging="360"/>
      </w:pPr>
      <w:rPr>
        <w:rFonts w:hint="default"/>
      </w:rPr>
    </w:lvl>
    <w:lvl w:ilvl="2" w:tplc="409E805A">
      <w:numFmt w:val="bullet"/>
      <w:lvlText w:val="•"/>
      <w:lvlJc w:val="left"/>
      <w:pPr>
        <w:ind w:left="2549" w:hanging="360"/>
      </w:pPr>
      <w:rPr>
        <w:rFonts w:hint="default"/>
      </w:rPr>
    </w:lvl>
    <w:lvl w:ilvl="3" w:tplc="95349A6A">
      <w:numFmt w:val="bullet"/>
      <w:lvlText w:val="•"/>
      <w:lvlJc w:val="left"/>
      <w:pPr>
        <w:ind w:left="3393" w:hanging="360"/>
      </w:pPr>
      <w:rPr>
        <w:rFonts w:hint="default"/>
      </w:rPr>
    </w:lvl>
    <w:lvl w:ilvl="4" w:tplc="589E145C">
      <w:numFmt w:val="bullet"/>
      <w:lvlText w:val="•"/>
      <w:lvlJc w:val="left"/>
      <w:pPr>
        <w:ind w:left="4238" w:hanging="360"/>
      </w:pPr>
      <w:rPr>
        <w:rFonts w:hint="default"/>
      </w:rPr>
    </w:lvl>
    <w:lvl w:ilvl="5" w:tplc="7EA27212">
      <w:numFmt w:val="bullet"/>
      <w:lvlText w:val="•"/>
      <w:lvlJc w:val="left"/>
      <w:pPr>
        <w:ind w:left="5083" w:hanging="360"/>
      </w:pPr>
      <w:rPr>
        <w:rFonts w:hint="default"/>
      </w:rPr>
    </w:lvl>
    <w:lvl w:ilvl="6" w:tplc="99643440">
      <w:numFmt w:val="bullet"/>
      <w:lvlText w:val="•"/>
      <w:lvlJc w:val="left"/>
      <w:pPr>
        <w:ind w:left="5927" w:hanging="360"/>
      </w:pPr>
      <w:rPr>
        <w:rFonts w:hint="default"/>
      </w:rPr>
    </w:lvl>
    <w:lvl w:ilvl="7" w:tplc="DBA49D8C">
      <w:numFmt w:val="bullet"/>
      <w:lvlText w:val="•"/>
      <w:lvlJc w:val="left"/>
      <w:pPr>
        <w:ind w:left="6772" w:hanging="360"/>
      </w:pPr>
      <w:rPr>
        <w:rFonts w:hint="default"/>
      </w:rPr>
    </w:lvl>
    <w:lvl w:ilvl="8" w:tplc="86C0D8C6">
      <w:numFmt w:val="bullet"/>
      <w:lvlText w:val="•"/>
      <w:lvlJc w:val="left"/>
      <w:pPr>
        <w:ind w:left="7617" w:hanging="360"/>
      </w:pPr>
      <w:rPr>
        <w:rFonts w:hint="default"/>
      </w:rPr>
    </w:lvl>
  </w:abstractNum>
  <w:abstractNum w:abstractNumId="17">
    <w:nsid w:val="7FEA0309"/>
    <w:multiLevelType w:val="hybridMultilevel"/>
    <w:tmpl w:val="3F506148"/>
    <w:lvl w:ilvl="0" w:tplc="81A4E774">
      <w:numFmt w:val="bullet"/>
      <w:lvlText w:val=""/>
      <w:lvlJc w:val="left"/>
      <w:pPr>
        <w:ind w:left="460" w:hanging="360"/>
      </w:pPr>
      <w:rPr>
        <w:rFonts w:ascii="Wingdings" w:eastAsia="Wingdings" w:hAnsi="Wingdings" w:cs="Wingdings" w:hint="default"/>
        <w:w w:val="100"/>
        <w:sz w:val="24"/>
        <w:szCs w:val="24"/>
      </w:rPr>
    </w:lvl>
    <w:lvl w:ilvl="1" w:tplc="EE28F5DA">
      <w:numFmt w:val="bullet"/>
      <w:lvlText w:val=""/>
      <w:lvlJc w:val="left"/>
      <w:pPr>
        <w:ind w:left="820" w:hanging="360"/>
      </w:pPr>
      <w:rPr>
        <w:rFonts w:ascii="Wingdings" w:eastAsia="Wingdings" w:hAnsi="Wingdings" w:cs="Wingdings" w:hint="default"/>
        <w:w w:val="100"/>
        <w:sz w:val="22"/>
        <w:szCs w:val="22"/>
      </w:rPr>
    </w:lvl>
    <w:lvl w:ilvl="2" w:tplc="46024FBC">
      <w:numFmt w:val="bullet"/>
      <w:lvlText w:val="•"/>
      <w:lvlJc w:val="left"/>
      <w:pPr>
        <w:ind w:left="1756" w:hanging="360"/>
      </w:pPr>
      <w:rPr>
        <w:rFonts w:hint="default"/>
      </w:rPr>
    </w:lvl>
    <w:lvl w:ilvl="3" w:tplc="569AAEC8">
      <w:numFmt w:val="bullet"/>
      <w:lvlText w:val="•"/>
      <w:lvlJc w:val="left"/>
      <w:pPr>
        <w:ind w:left="2692" w:hanging="360"/>
      </w:pPr>
      <w:rPr>
        <w:rFonts w:hint="default"/>
      </w:rPr>
    </w:lvl>
    <w:lvl w:ilvl="4" w:tplc="AE5ECCD2">
      <w:numFmt w:val="bullet"/>
      <w:lvlText w:val="•"/>
      <w:lvlJc w:val="left"/>
      <w:pPr>
        <w:ind w:left="3628" w:hanging="360"/>
      </w:pPr>
      <w:rPr>
        <w:rFonts w:hint="default"/>
      </w:rPr>
    </w:lvl>
    <w:lvl w:ilvl="5" w:tplc="4F4A5FB8">
      <w:numFmt w:val="bullet"/>
      <w:lvlText w:val="•"/>
      <w:lvlJc w:val="left"/>
      <w:pPr>
        <w:ind w:left="4565" w:hanging="360"/>
      </w:pPr>
      <w:rPr>
        <w:rFonts w:hint="default"/>
      </w:rPr>
    </w:lvl>
    <w:lvl w:ilvl="6" w:tplc="6CC64684">
      <w:numFmt w:val="bullet"/>
      <w:lvlText w:val="•"/>
      <w:lvlJc w:val="left"/>
      <w:pPr>
        <w:ind w:left="5501" w:hanging="360"/>
      </w:pPr>
      <w:rPr>
        <w:rFonts w:hint="default"/>
      </w:rPr>
    </w:lvl>
    <w:lvl w:ilvl="7" w:tplc="A15A80D0">
      <w:numFmt w:val="bullet"/>
      <w:lvlText w:val="•"/>
      <w:lvlJc w:val="left"/>
      <w:pPr>
        <w:ind w:left="6437" w:hanging="360"/>
      </w:pPr>
      <w:rPr>
        <w:rFonts w:hint="default"/>
      </w:rPr>
    </w:lvl>
    <w:lvl w:ilvl="8" w:tplc="4F003C18">
      <w:numFmt w:val="bullet"/>
      <w:lvlText w:val="•"/>
      <w:lvlJc w:val="left"/>
      <w:pPr>
        <w:ind w:left="7373" w:hanging="360"/>
      </w:pPr>
      <w:rPr>
        <w:rFonts w:hint="default"/>
      </w:rPr>
    </w:lvl>
  </w:abstractNum>
  <w:num w:numId="1">
    <w:abstractNumId w:val="8"/>
  </w:num>
  <w:num w:numId="2">
    <w:abstractNumId w:val="1"/>
  </w:num>
  <w:num w:numId="3">
    <w:abstractNumId w:val="15"/>
  </w:num>
  <w:num w:numId="4">
    <w:abstractNumId w:val="9"/>
  </w:num>
  <w:num w:numId="5">
    <w:abstractNumId w:val="2"/>
  </w:num>
  <w:num w:numId="6">
    <w:abstractNumId w:val="0"/>
  </w:num>
  <w:num w:numId="7">
    <w:abstractNumId w:val="4"/>
  </w:num>
  <w:num w:numId="8">
    <w:abstractNumId w:val="10"/>
  </w:num>
  <w:num w:numId="9">
    <w:abstractNumId w:val="7"/>
  </w:num>
  <w:num w:numId="10">
    <w:abstractNumId w:val="6"/>
  </w:num>
  <w:num w:numId="11">
    <w:abstractNumId w:val="3"/>
  </w:num>
  <w:num w:numId="12">
    <w:abstractNumId w:val="11"/>
  </w:num>
  <w:num w:numId="13">
    <w:abstractNumId w:val="5"/>
  </w:num>
  <w:num w:numId="14">
    <w:abstractNumId w:val="13"/>
  </w:num>
  <w:num w:numId="15">
    <w:abstractNumId w:val="17"/>
  </w:num>
  <w:num w:numId="16">
    <w:abstractNumId w:val="14"/>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B3"/>
    <w:rsid w:val="00144B40"/>
    <w:rsid w:val="0027057B"/>
    <w:rsid w:val="00545601"/>
    <w:rsid w:val="005D48D5"/>
    <w:rsid w:val="005E126E"/>
    <w:rsid w:val="0066227A"/>
    <w:rsid w:val="007B1165"/>
    <w:rsid w:val="007C28B3"/>
    <w:rsid w:val="00A3664F"/>
    <w:rsid w:val="00BE2FA4"/>
    <w:rsid w:val="00CA10FF"/>
    <w:rsid w:val="00EC7079"/>
    <w:rsid w:val="00F15C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Pr>
      <w:rFonts w:ascii="Verdana" w:eastAsia="Verdana" w:hAnsi="Verdana" w:cs="Verdana"/>
    </w:rPr>
  </w:style>
  <w:style w:type="paragraph" w:styleId="Kop1">
    <w:name w:val="heading 1"/>
    <w:basedOn w:val="Standaard"/>
    <w:uiPriority w:val="1"/>
    <w:qFormat/>
    <w:pPr>
      <w:spacing w:before="21"/>
      <w:ind w:left="100"/>
      <w:outlineLvl w:val="0"/>
    </w:pPr>
    <w:rPr>
      <w:rFonts w:ascii="Calibri" w:eastAsia="Calibri" w:hAnsi="Calibri" w:cs="Calibri"/>
      <w:b/>
      <w:bCs/>
      <w:sz w:val="28"/>
      <w:szCs w:val="28"/>
    </w:rPr>
  </w:style>
  <w:style w:type="paragraph" w:styleId="Kop2">
    <w:name w:val="heading 2"/>
    <w:basedOn w:val="Standaard"/>
    <w:uiPriority w:val="1"/>
    <w:qFormat/>
    <w:pPr>
      <w:spacing w:before="52"/>
      <w:ind w:left="100"/>
      <w:outlineLvl w:val="1"/>
    </w:pPr>
    <w:rPr>
      <w:rFonts w:ascii="Calibri" w:eastAsia="Calibri" w:hAnsi="Calibri" w:cs="Calibri"/>
      <w:b/>
      <w:bCs/>
      <w:sz w:val="24"/>
      <w:szCs w:val="24"/>
    </w:rPr>
  </w:style>
  <w:style w:type="paragraph" w:styleId="Kop3">
    <w:name w:val="heading 3"/>
    <w:basedOn w:val="Standaard"/>
    <w:uiPriority w:val="1"/>
    <w:qFormat/>
    <w:pPr>
      <w:ind w:left="100"/>
      <w:jc w:val="both"/>
      <w:outlineLvl w:val="2"/>
    </w:pPr>
    <w:rPr>
      <w:rFonts w:ascii="Calibri" w:eastAsia="Calibri" w:hAnsi="Calibri" w:cs="Calibri"/>
      <w:b/>
      <w:bCs/>
    </w:rPr>
  </w:style>
  <w:style w:type="paragraph" w:styleId="Kop4">
    <w:name w:val="heading 4"/>
    <w:basedOn w:val="Standaard"/>
    <w:uiPriority w:val="1"/>
    <w:qFormat/>
    <w:pPr>
      <w:spacing w:line="219" w:lineRule="exact"/>
      <w:ind w:left="116" w:right="147"/>
      <w:outlineLvl w:val="3"/>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836" w:hanging="360"/>
    </w:pPr>
  </w:style>
  <w:style w:type="paragraph" w:customStyle="1" w:styleId="TableParagraph">
    <w:name w:val="Table Paragraph"/>
    <w:basedOn w:val="Standaard"/>
    <w:uiPriority w:val="1"/>
    <w:qFormat/>
    <w:pPr>
      <w:spacing w:before="1"/>
      <w:ind w:left="103"/>
    </w:pPr>
  </w:style>
  <w:style w:type="paragraph" w:styleId="Ballontekst">
    <w:name w:val="Balloon Text"/>
    <w:basedOn w:val="Standaard"/>
    <w:link w:val="BallontekstChar"/>
    <w:uiPriority w:val="99"/>
    <w:semiHidden/>
    <w:unhideWhenUsed/>
    <w:rsid w:val="00545601"/>
    <w:rPr>
      <w:rFonts w:ascii="Tahoma" w:hAnsi="Tahoma" w:cs="Tahoma"/>
      <w:sz w:val="16"/>
      <w:szCs w:val="16"/>
    </w:rPr>
  </w:style>
  <w:style w:type="character" w:customStyle="1" w:styleId="BallontekstChar">
    <w:name w:val="Ballontekst Char"/>
    <w:basedOn w:val="Standaardalinea-lettertype"/>
    <w:link w:val="Ballontekst"/>
    <w:uiPriority w:val="99"/>
    <w:semiHidden/>
    <w:rsid w:val="00545601"/>
    <w:rPr>
      <w:rFonts w:ascii="Tahoma" w:eastAsia="Verdana" w:hAnsi="Tahoma" w:cs="Tahoma"/>
      <w:sz w:val="16"/>
      <w:szCs w:val="16"/>
    </w:rPr>
  </w:style>
  <w:style w:type="character" w:styleId="Hyperlink">
    <w:name w:val="Hyperlink"/>
    <w:basedOn w:val="Standaardalinea-lettertype"/>
    <w:uiPriority w:val="99"/>
    <w:unhideWhenUsed/>
    <w:rsid w:val="007B11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Pr>
      <w:rFonts w:ascii="Verdana" w:eastAsia="Verdana" w:hAnsi="Verdana" w:cs="Verdana"/>
    </w:rPr>
  </w:style>
  <w:style w:type="paragraph" w:styleId="Kop1">
    <w:name w:val="heading 1"/>
    <w:basedOn w:val="Standaard"/>
    <w:uiPriority w:val="1"/>
    <w:qFormat/>
    <w:pPr>
      <w:spacing w:before="21"/>
      <w:ind w:left="100"/>
      <w:outlineLvl w:val="0"/>
    </w:pPr>
    <w:rPr>
      <w:rFonts w:ascii="Calibri" w:eastAsia="Calibri" w:hAnsi="Calibri" w:cs="Calibri"/>
      <w:b/>
      <w:bCs/>
      <w:sz w:val="28"/>
      <w:szCs w:val="28"/>
    </w:rPr>
  </w:style>
  <w:style w:type="paragraph" w:styleId="Kop2">
    <w:name w:val="heading 2"/>
    <w:basedOn w:val="Standaard"/>
    <w:uiPriority w:val="1"/>
    <w:qFormat/>
    <w:pPr>
      <w:spacing w:before="52"/>
      <w:ind w:left="100"/>
      <w:outlineLvl w:val="1"/>
    </w:pPr>
    <w:rPr>
      <w:rFonts w:ascii="Calibri" w:eastAsia="Calibri" w:hAnsi="Calibri" w:cs="Calibri"/>
      <w:b/>
      <w:bCs/>
      <w:sz w:val="24"/>
      <w:szCs w:val="24"/>
    </w:rPr>
  </w:style>
  <w:style w:type="paragraph" w:styleId="Kop3">
    <w:name w:val="heading 3"/>
    <w:basedOn w:val="Standaard"/>
    <w:uiPriority w:val="1"/>
    <w:qFormat/>
    <w:pPr>
      <w:ind w:left="100"/>
      <w:jc w:val="both"/>
      <w:outlineLvl w:val="2"/>
    </w:pPr>
    <w:rPr>
      <w:rFonts w:ascii="Calibri" w:eastAsia="Calibri" w:hAnsi="Calibri" w:cs="Calibri"/>
      <w:b/>
      <w:bCs/>
    </w:rPr>
  </w:style>
  <w:style w:type="paragraph" w:styleId="Kop4">
    <w:name w:val="heading 4"/>
    <w:basedOn w:val="Standaard"/>
    <w:uiPriority w:val="1"/>
    <w:qFormat/>
    <w:pPr>
      <w:spacing w:line="219" w:lineRule="exact"/>
      <w:ind w:left="116" w:right="147"/>
      <w:outlineLvl w:val="3"/>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836" w:hanging="360"/>
    </w:pPr>
  </w:style>
  <w:style w:type="paragraph" w:customStyle="1" w:styleId="TableParagraph">
    <w:name w:val="Table Paragraph"/>
    <w:basedOn w:val="Standaard"/>
    <w:uiPriority w:val="1"/>
    <w:qFormat/>
    <w:pPr>
      <w:spacing w:before="1"/>
      <w:ind w:left="103"/>
    </w:pPr>
  </w:style>
  <w:style w:type="paragraph" w:styleId="Ballontekst">
    <w:name w:val="Balloon Text"/>
    <w:basedOn w:val="Standaard"/>
    <w:link w:val="BallontekstChar"/>
    <w:uiPriority w:val="99"/>
    <w:semiHidden/>
    <w:unhideWhenUsed/>
    <w:rsid w:val="00545601"/>
    <w:rPr>
      <w:rFonts w:ascii="Tahoma" w:hAnsi="Tahoma" w:cs="Tahoma"/>
      <w:sz w:val="16"/>
      <w:szCs w:val="16"/>
    </w:rPr>
  </w:style>
  <w:style w:type="character" w:customStyle="1" w:styleId="BallontekstChar">
    <w:name w:val="Ballontekst Char"/>
    <w:basedOn w:val="Standaardalinea-lettertype"/>
    <w:link w:val="Ballontekst"/>
    <w:uiPriority w:val="99"/>
    <w:semiHidden/>
    <w:rsid w:val="00545601"/>
    <w:rPr>
      <w:rFonts w:ascii="Tahoma" w:eastAsia="Verdana" w:hAnsi="Tahoma" w:cs="Tahoma"/>
      <w:sz w:val="16"/>
      <w:szCs w:val="16"/>
    </w:rPr>
  </w:style>
  <w:style w:type="character" w:styleId="Hyperlink">
    <w:name w:val="Hyperlink"/>
    <w:basedOn w:val="Standaardalinea-lettertype"/>
    <w:uiPriority w:val="99"/>
    <w:unhideWhenUsed/>
    <w:rsid w:val="007B11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www.grammarbook.com/punctuation/hyphens.asp" TargetMode="External"/><Relationship Id="rId26" Type="http://schemas.openxmlformats.org/officeDocument/2006/relationships/hyperlink" Target="http://www.clingendael.nl/cru/" TargetMode="External"/><Relationship Id="rId3" Type="http://schemas.microsoft.com/office/2007/relationships/stylesWithEffects" Target="stylesWithEffects.xml"/><Relationship Id="rId21" Type="http://schemas.openxmlformats.org/officeDocument/2006/relationships/hyperlink" Target="http://www.grammarbook.com/punctuation/dashes.asp" TargetMode="External"/><Relationship Id="rId7" Type="http://schemas.openxmlformats.org/officeDocument/2006/relationships/endnotes" Target="endnotes.xml"/><Relationship Id="rId12" Type="http://schemas.openxmlformats.org/officeDocument/2006/relationships/hyperlink" Target="https://www.clingendael.nl/sites/default/files/PB_At_%20the_%20gate.pdf" TargetMode="External"/><Relationship Id="rId17" Type="http://schemas.openxmlformats.org/officeDocument/2006/relationships/hyperlink" Target="http://grammar.ccc.commnet.edu/grammar/abbreviations.htm" TargetMode="External"/><Relationship Id="rId25" Type="http://schemas.openxmlformats.org/officeDocument/2006/relationships/hyperlink" Target="http://www.grammarbook.com/punctuation/capital.asp" TargetMode="External"/><Relationship Id="rId2" Type="http://schemas.openxmlformats.org/officeDocument/2006/relationships/styles" Target="styles.xml"/><Relationship Id="rId16" Type="http://schemas.openxmlformats.org/officeDocument/2006/relationships/hyperlink" Target="http://www.grammarbook.com/" TargetMode="External"/><Relationship Id="rId20" Type="http://schemas.openxmlformats.org/officeDocument/2006/relationships/hyperlink" Target="http://grammar.ccc.commnet.edu/grammar/marks/ellipsis.htm" TargetMode="External"/><Relationship Id="rId29" Type="http://schemas.openxmlformats.org/officeDocument/2006/relationships/hyperlink" Target="http://www.clingendael.nl/sites/default/files/dhooghe/chinablog.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rammarbook.com/numbers/numbers.asp" TargetMode="External"/><Relationship Id="rId5" Type="http://schemas.openxmlformats.org/officeDocument/2006/relationships/webSettings" Target="webSettings.xml"/><Relationship Id="rId15" Type="http://schemas.openxmlformats.org/officeDocument/2006/relationships/hyperlink" Target="http://www.studyenglishtoday.net/british-american-english.html" TargetMode="External"/><Relationship Id="rId23" Type="http://schemas.openxmlformats.org/officeDocument/2006/relationships/hyperlink" Target="http://www.grammarbook.com/punctuation/semicolons.asp" TargetMode="External"/><Relationship Id="rId28" Type="http://schemas.openxmlformats.org/officeDocument/2006/relationships/hyperlink" Target="http://www.clingendael.nl/sites/default/files/Annual%20Report%20Clingendael%202012.pdf" TargetMode="External"/><Relationship Id="rId10" Type="http://schemas.openxmlformats.org/officeDocument/2006/relationships/hyperlink" Target="https://www.planetarysecurityinitiative.org/sites/default/files/2017-06/PB_PSI_MENA.pdf.pagespeed.ce.nKqus4fudj.pdf" TargetMode="External"/><Relationship Id="rId19" Type="http://schemas.openxmlformats.org/officeDocument/2006/relationships/hyperlink" Target="http://grammar.ccc.commnet.edu/grammar/marks/quotation.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etarysecurityinitiative.org/sites/default/files/2017-03/PB_The,P20EU_Climate_Security.pdf.pagespeed.ce.C75k3Wl-1K.pdf" TargetMode="External"/><Relationship Id="rId14" Type="http://schemas.openxmlformats.org/officeDocument/2006/relationships/hyperlink" Target="https://www.englishclub.com/vocabulary/british-american.htm" TargetMode="External"/><Relationship Id="rId22" Type="http://schemas.openxmlformats.org/officeDocument/2006/relationships/hyperlink" Target="http://www.grammarbook.com/punctuation/colons.asp" TargetMode="External"/><Relationship Id="rId27" Type="http://schemas.openxmlformats.org/officeDocument/2006/relationships/hyperlink" Target="http://jgi.org/issues/v287n5/rfull/latdevsusman/schaik201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3878</Words>
  <Characters>22110</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Béchard</dc:creator>
  <cp:lastModifiedBy>Etienne Béchard</cp:lastModifiedBy>
  <cp:revision>2</cp:revision>
  <cp:lastPrinted>2017-08-03T14:54:00Z</cp:lastPrinted>
  <dcterms:created xsi:type="dcterms:W3CDTF">2018-06-14T09:01:00Z</dcterms:created>
  <dcterms:modified xsi:type="dcterms:W3CDTF">2018-06-14T09:01:00Z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2016-08-03T00:00:00Z</vt:filetime>
  </property>
  <property fmtid="{D5CDD505-2E9C-101B-9397-08002B2CF9AE}" pid="3" name="Creator">
    <vt:lpwstr>Microsoft® Word 2010</vt:lpwstr>
  </property>
  <property fmtid="{D5CDD505-2E9C-101B-9397-08002B2CF9AE}" pid="4" name="LastSaved">
    <vt:filetime>2017-08-03T00:00:00Z</vt:filetime>
  </property>
</Properties>
</file>